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sidRPr="00162182">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3C574B1" w:rsidR="00C32E34" w:rsidRPr="00C07707" w:rsidRDefault="007E5077" w:rsidP="009657B8">
            <w:pPr>
              <w:rPr>
                <w:rFonts w:cstheme="minorHAnsi"/>
                <w:color w:val="000000" w:themeColor="text1"/>
                <w:lang w:val="en-US"/>
              </w:rPr>
            </w:pPr>
            <w:r w:rsidRPr="00C07707">
              <w:rPr>
                <w:rFonts w:eastAsia="Times New Roman" w:cstheme="minorHAnsi"/>
                <w:lang w:val="en-US" w:eastAsia="pt-BR"/>
              </w:rPr>
              <w:t>saber-rattling</w:t>
            </w:r>
          </w:p>
        </w:tc>
        <w:tc>
          <w:tcPr>
            <w:tcW w:w="4449" w:type="dxa"/>
          </w:tcPr>
          <w:p w14:paraId="0BC73C5D" w14:textId="3BA7D7F3" w:rsidR="00C32E34" w:rsidRPr="00C07707" w:rsidRDefault="00C07707" w:rsidP="009657B8">
            <w:pPr>
              <w:rPr>
                <w:rFonts w:eastAsia="Times New Roman" w:cstheme="minorHAnsi"/>
                <w:lang w:val="en-US" w:eastAsia="pt-BR"/>
              </w:rPr>
            </w:pPr>
            <w:proofErr w:type="spellStart"/>
            <w:r>
              <w:rPr>
                <w:rFonts w:eastAsia="Times New Roman" w:cstheme="minorHAnsi"/>
                <w:lang w:val="en-US" w:eastAsia="pt-BR"/>
              </w:rPr>
              <w:t>intimidador</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7B64EDC" w:rsidR="00C32E34" w:rsidRPr="00C07707" w:rsidRDefault="007E5077" w:rsidP="009657B8">
            <w:pPr>
              <w:rPr>
                <w:rFonts w:cstheme="minorHAnsi"/>
                <w:color w:val="000000" w:themeColor="text1"/>
                <w:lang w:val="en-US"/>
              </w:rPr>
            </w:pPr>
            <w:r w:rsidRPr="00C07707">
              <w:rPr>
                <w:rFonts w:eastAsia="Times New Roman" w:cstheme="minorHAnsi"/>
                <w:lang w:val="en-US" w:eastAsia="pt-BR"/>
              </w:rPr>
              <w:t>undergird</w:t>
            </w:r>
          </w:p>
        </w:tc>
        <w:tc>
          <w:tcPr>
            <w:tcW w:w="4449" w:type="dxa"/>
          </w:tcPr>
          <w:p w14:paraId="1479DEB3" w14:textId="703D40CF" w:rsidR="00C32E34" w:rsidRPr="00C07707" w:rsidRDefault="004F6D7A" w:rsidP="009657B8">
            <w:pPr>
              <w:rPr>
                <w:rFonts w:eastAsia="Times New Roman" w:cstheme="minorHAnsi"/>
                <w:lang w:val="en-US" w:eastAsia="pt-BR"/>
              </w:rPr>
            </w:pPr>
            <w:proofErr w:type="spellStart"/>
            <w:r w:rsidRPr="00C07707">
              <w:rPr>
                <w:rFonts w:eastAsia="Times New Roman" w:cstheme="minorHAnsi"/>
                <w:lang w:val="en-US" w:eastAsia="pt-BR"/>
              </w:rPr>
              <w:t>sustentar</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6076AD78" w:rsidR="00C32E34" w:rsidRPr="00C07707" w:rsidRDefault="004F6D7A" w:rsidP="009657B8">
            <w:pPr>
              <w:rPr>
                <w:rFonts w:cstheme="minorHAnsi"/>
                <w:color w:val="000000" w:themeColor="text1"/>
                <w:lang w:val="en-US"/>
              </w:rPr>
            </w:pPr>
            <w:r w:rsidRPr="00C07707">
              <w:rPr>
                <w:rFonts w:eastAsia="Times New Roman" w:cstheme="minorHAnsi"/>
                <w:lang w:val="en-US" w:eastAsia="pt-BR"/>
              </w:rPr>
              <w:t>dual-track</w:t>
            </w:r>
          </w:p>
        </w:tc>
        <w:tc>
          <w:tcPr>
            <w:tcW w:w="4449" w:type="dxa"/>
          </w:tcPr>
          <w:p w14:paraId="39141B9D" w14:textId="042EE6D2" w:rsidR="00C32E34" w:rsidRPr="00C07707" w:rsidRDefault="00AB0550" w:rsidP="009657B8">
            <w:pPr>
              <w:rPr>
                <w:rFonts w:eastAsia="Times New Roman" w:cstheme="minorHAnsi"/>
                <w:lang w:val="en-US" w:eastAsia="pt-BR"/>
              </w:rPr>
            </w:pPr>
            <w:proofErr w:type="spellStart"/>
            <w:r w:rsidRPr="00C07707">
              <w:rPr>
                <w:rFonts w:eastAsia="Times New Roman" w:cstheme="minorHAnsi"/>
                <w:lang w:val="en-US" w:eastAsia="pt-BR"/>
              </w:rPr>
              <w:t>d</w:t>
            </w:r>
            <w:r w:rsidR="004F6D7A" w:rsidRPr="00C07707">
              <w:rPr>
                <w:rFonts w:eastAsia="Times New Roman" w:cstheme="minorHAnsi"/>
                <w:lang w:val="en-US" w:eastAsia="pt-BR"/>
              </w:rPr>
              <w:t>uas</w:t>
            </w:r>
            <w:proofErr w:type="spellEnd"/>
            <w:r w:rsidR="004F6D7A" w:rsidRPr="00C07707">
              <w:rPr>
                <w:rFonts w:eastAsia="Times New Roman" w:cstheme="minorHAnsi"/>
                <w:lang w:val="en-US" w:eastAsia="pt-BR"/>
              </w:rPr>
              <w:t xml:space="preserve"> vias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082FFE0" w:rsidR="00C32E34" w:rsidRPr="00C07707" w:rsidRDefault="004F6D7A" w:rsidP="009657B8">
            <w:pPr>
              <w:rPr>
                <w:rFonts w:cstheme="minorHAnsi"/>
                <w:color w:val="000000" w:themeColor="text1"/>
                <w:lang w:val="en-US"/>
              </w:rPr>
            </w:pPr>
            <w:r w:rsidRPr="00C07707">
              <w:rPr>
                <w:rFonts w:eastAsia="Times New Roman" w:cstheme="minorHAnsi"/>
                <w:lang w:val="en-US" w:eastAsia="pt-BR"/>
              </w:rPr>
              <w:t>dissension</w:t>
            </w:r>
          </w:p>
        </w:tc>
        <w:tc>
          <w:tcPr>
            <w:tcW w:w="4449" w:type="dxa"/>
          </w:tcPr>
          <w:p w14:paraId="09A4F8BB" w14:textId="10787AA5" w:rsidR="00C32E34" w:rsidRPr="00C07707" w:rsidRDefault="004F6D7A" w:rsidP="009657B8">
            <w:pPr>
              <w:rPr>
                <w:rFonts w:eastAsia="Times New Roman" w:cstheme="minorHAnsi"/>
                <w:lang w:val="en-US" w:eastAsia="pt-BR"/>
              </w:rPr>
            </w:pPr>
            <w:proofErr w:type="spellStart"/>
            <w:r w:rsidRPr="00C07707">
              <w:rPr>
                <w:rFonts w:eastAsia="Times New Roman" w:cstheme="minorHAnsi"/>
                <w:lang w:val="en-US" w:eastAsia="pt-BR"/>
              </w:rPr>
              <w:t>dissens</w:t>
            </w:r>
            <w:r w:rsidR="00C07707">
              <w:rPr>
                <w:rFonts w:eastAsia="Times New Roman" w:cstheme="minorHAnsi"/>
                <w:lang w:val="en-US" w:eastAsia="pt-BR"/>
              </w:rPr>
              <w:t>ão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0" w:type="auto"/>
        <w:tblLook w:val="04A0" w:firstRow="1" w:lastRow="0" w:firstColumn="1" w:lastColumn="0" w:noHBand="0" w:noVBand="1"/>
      </w:tblPr>
      <w:tblGrid>
        <w:gridCol w:w="3979"/>
        <w:gridCol w:w="3980"/>
      </w:tblGrid>
      <w:tr w:rsidR="00472318" w:rsidRPr="00B832E6" w14:paraId="450D9B13" w14:textId="77777777" w:rsidTr="00D17189">
        <w:tc>
          <w:tcPr>
            <w:tcW w:w="397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980"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D17189">
        <w:tc>
          <w:tcPr>
            <w:tcW w:w="3979" w:type="dxa"/>
          </w:tcPr>
          <w:p w14:paraId="785259C0" w14:textId="64C881F6" w:rsidR="00472318" w:rsidRPr="00D17189" w:rsidRDefault="00AB0550" w:rsidP="00B41EB5">
            <w:pPr>
              <w:rPr>
                <w:rFonts w:cstheme="minorHAnsi"/>
                <w:b/>
                <w:bCs/>
                <w:color w:val="000000" w:themeColor="text1"/>
                <w:lang w:val="en-US"/>
              </w:rPr>
            </w:pPr>
            <w:proofErr w:type="spellStart"/>
            <w:r w:rsidRPr="00D17189">
              <w:rPr>
                <w:rFonts w:cstheme="minorHAnsi"/>
                <w:b/>
                <w:bCs/>
                <w:color w:val="000000" w:themeColor="text1"/>
                <w:lang w:val="en-US"/>
              </w:rPr>
              <w:t>Nato</w:t>
            </w:r>
            <w:proofErr w:type="spellEnd"/>
            <w:r w:rsidRPr="00D17189">
              <w:rPr>
                <w:rFonts w:cstheme="minorHAnsi"/>
                <w:b/>
                <w:bCs/>
                <w:color w:val="000000" w:themeColor="text1"/>
                <w:lang w:val="en-US"/>
              </w:rPr>
              <w:t xml:space="preserve"> Needs Deterrence And Dialogue: Defining The New Balance In View Of The Warsaw Summit</w:t>
            </w:r>
          </w:p>
          <w:p w14:paraId="7B2E963A" w14:textId="4546236F" w:rsidR="00AB0550" w:rsidRDefault="00AB0550" w:rsidP="00B41EB5">
            <w:pPr>
              <w:rPr>
                <w:rFonts w:cstheme="minorHAnsi"/>
                <w:color w:val="000000" w:themeColor="text1"/>
                <w:lang w:val="en-US"/>
              </w:rPr>
            </w:pPr>
          </w:p>
          <w:p w14:paraId="2ECA369C" w14:textId="1835C7AE" w:rsidR="00AB0550" w:rsidRDefault="00AB0550" w:rsidP="00B41EB5">
            <w:pPr>
              <w:rPr>
                <w:rFonts w:cstheme="minorHAnsi"/>
                <w:color w:val="000000" w:themeColor="text1"/>
                <w:lang w:val="en-US"/>
              </w:rPr>
            </w:pPr>
            <w:r w:rsidRPr="00AB0550">
              <w:rPr>
                <w:rFonts w:cstheme="minorHAnsi"/>
                <w:color w:val="000000" w:themeColor="text1"/>
                <w:lang w:val="en-US"/>
              </w:rPr>
              <w:t xml:space="preserve">By Jeffrey </w:t>
            </w:r>
            <w:proofErr w:type="spellStart"/>
            <w:r w:rsidRPr="00AB0550">
              <w:rPr>
                <w:rFonts w:cstheme="minorHAnsi"/>
                <w:color w:val="000000" w:themeColor="text1"/>
                <w:lang w:val="en-US"/>
              </w:rPr>
              <w:t>Rathke</w:t>
            </w:r>
            <w:proofErr w:type="spellEnd"/>
            <w:r w:rsidRPr="00AB0550">
              <w:rPr>
                <w:rFonts w:cstheme="minorHAnsi"/>
                <w:color w:val="000000" w:themeColor="text1"/>
                <w:lang w:val="en-US"/>
              </w:rPr>
              <w:t xml:space="preserve"> </w:t>
            </w:r>
            <w:r w:rsidR="00D17189">
              <w:rPr>
                <w:rFonts w:cstheme="minorHAnsi"/>
                <w:color w:val="000000" w:themeColor="text1"/>
                <w:lang w:val="en-US"/>
              </w:rPr>
              <w:t>and</w:t>
            </w:r>
            <w:r w:rsidRPr="00AB0550">
              <w:rPr>
                <w:rFonts w:cstheme="minorHAnsi"/>
                <w:color w:val="000000" w:themeColor="text1"/>
                <w:lang w:val="en-US"/>
              </w:rPr>
              <w:t xml:space="preserve"> Claudia Major</w:t>
            </w:r>
          </w:p>
          <w:p w14:paraId="36B36641" w14:textId="1B66932C" w:rsidR="00AB0550" w:rsidRDefault="00AB0550" w:rsidP="00B41EB5">
            <w:pPr>
              <w:rPr>
                <w:rFonts w:cstheme="minorHAnsi"/>
                <w:color w:val="000000" w:themeColor="text1"/>
                <w:lang w:val="en-US"/>
              </w:rPr>
            </w:pPr>
          </w:p>
          <w:p w14:paraId="54B96DEA" w14:textId="77777777" w:rsidR="00AB0550" w:rsidRPr="00AB0550" w:rsidRDefault="00AB0550" w:rsidP="00AB0550">
            <w:pPr>
              <w:rPr>
                <w:rFonts w:cstheme="minorHAnsi"/>
                <w:color w:val="000000" w:themeColor="text1"/>
                <w:lang w:val="en-US"/>
              </w:rPr>
            </w:pPr>
            <w:r w:rsidRPr="00AB0550">
              <w:rPr>
                <w:rFonts w:cstheme="minorHAnsi"/>
                <w:color w:val="000000" w:themeColor="text1"/>
                <w:lang w:val="en-US"/>
              </w:rPr>
              <w:t>Deterrence is back in Europe.</w:t>
            </w:r>
          </w:p>
          <w:p w14:paraId="4928C45E" w14:textId="79461B44" w:rsidR="00AB0550" w:rsidRDefault="00AB0550" w:rsidP="00AB0550">
            <w:pPr>
              <w:rPr>
                <w:rFonts w:cstheme="minorHAnsi"/>
                <w:color w:val="000000" w:themeColor="text1"/>
                <w:lang w:val="en-US"/>
              </w:rPr>
            </w:pPr>
            <w:r w:rsidRPr="00AB0550">
              <w:rPr>
                <w:rFonts w:cstheme="minorHAnsi"/>
                <w:color w:val="000000" w:themeColor="text1"/>
                <w:lang w:val="en-US"/>
              </w:rPr>
              <w:t>As NATO approaches its July summit in Warsaw, allies are adapting this concept to the new security settings in place in Europe since the 2014 crisis in Ukraine.</w:t>
            </w:r>
          </w:p>
          <w:p w14:paraId="1190E8D5" w14:textId="77777777" w:rsidR="00D17189" w:rsidRDefault="00D17189" w:rsidP="00AB0550">
            <w:pPr>
              <w:rPr>
                <w:rFonts w:cstheme="minorHAnsi"/>
                <w:color w:val="000000" w:themeColor="text1"/>
                <w:lang w:val="en-US"/>
              </w:rPr>
            </w:pPr>
          </w:p>
          <w:p w14:paraId="15AB6ED3" w14:textId="77777777" w:rsidR="00D17189" w:rsidRDefault="00D17189" w:rsidP="00AB0550">
            <w:pPr>
              <w:rPr>
                <w:rFonts w:cstheme="minorHAnsi"/>
                <w:color w:val="000000" w:themeColor="text1"/>
                <w:lang w:val="en-US"/>
              </w:rPr>
            </w:pPr>
          </w:p>
          <w:p w14:paraId="39E02C94" w14:textId="77777777" w:rsidR="00D17189" w:rsidRDefault="00D17189" w:rsidP="00AB0550">
            <w:pPr>
              <w:rPr>
                <w:rFonts w:cstheme="minorHAnsi"/>
                <w:color w:val="000000" w:themeColor="text1"/>
                <w:lang w:val="en-US"/>
              </w:rPr>
            </w:pPr>
          </w:p>
          <w:p w14:paraId="0667E448" w14:textId="47E867BA" w:rsidR="00AB0550" w:rsidRDefault="00AB0550" w:rsidP="00AB0550">
            <w:pPr>
              <w:rPr>
                <w:rFonts w:cstheme="minorHAnsi"/>
                <w:color w:val="000000" w:themeColor="text1"/>
                <w:lang w:val="en-US"/>
              </w:rPr>
            </w:pPr>
            <w:r w:rsidRPr="00AB0550">
              <w:rPr>
                <w:rFonts w:cstheme="minorHAnsi"/>
                <w:color w:val="000000" w:themeColor="text1"/>
                <w:lang w:val="en-US"/>
              </w:rPr>
              <w:t xml:space="preserve">Yet, deterrence is intrinsically connected to dialogue: these are the two pillars of NATO’s strategy, as defined in the 1967 </w:t>
            </w:r>
            <w:proofErr w:type="spellStart"/>
            <w:r w:rsidRPr="00AB0550">
              <w:rPr>
                <w:rFonts w:cstheme="minorHAnsi"/>
                <w:color w:val="000000" w:themeColor="text1"/>
                <w:lang w:val="en-US"/>
              </w:rPr>
              <w:t>Harmel</w:t>
            </w:r>
            <w:proofErr w:type="spellEnd"/>
            <w:r w:rsidRPr="00AB0550">
              <w:rPr>
                <w:rFonts w:cstheme="minorHAnsi"/>
                <w:color w:val="000000" w:themeColor="text1"/>
                <w:lang w:val="en-US"/>
              </w:rPr>
              <w:t xml:space="preserve"> Report.</w:t>
            </w:r>
          </w:p>
          <w:p w14:paraId="30FC6B2C" w14:textId="5EA83A7E" w:rsidR="00AB0550" w:rsidRDefault="00AB0550" w:rsidP="00AB0550">
            <w:pPr>
              <w:rPr>
                <w:rFonts w:cstheme="minorHAnsi"/>
                <w:color w:val="000000" w:themeColor="text1"/>
                <w:lang w:val="en-US"/>
              </w:rPr>
            </w:pPr>
          </w:p>
          <w:p w14:paraId="6D04BE65" w14:textId="77777777" w:rsidR="00D17189" w:rsidRDefault="00D17189" w:rsidP="00AB0550">
            <w:pPr>
              <w:rPr>
                <w:rFonts w:cstheme="minorHAnsi"/>
                <w:b/>
                <w:bCs/>
                <w:color w:val="000000" w:themeColor="text1"/>
                <w:lang w:val="en-US"/>
              </w:rPr>
            </w:pPr>
          </w:p>
          <w:p w14:paraId="76D8E6DC" w14:textId="681AF3B8" w:rsidR="00AB0550" w:rsidRPr="00D17189" w:rsidRDefault="00AB0550" w:rsidP="00AB0550">
            <w:pPr>
              <w:rPr>
                <w:rFonts w:cstheme="minorHAnsi"/>
                <w:b/>
                <w:bCs/>
                <w:color w:val="000000" w:themeColor="text1"/>
                <w:lang w:val="en-US"/>
              </w:rPr>
            </w:pPr>
            <w:r w:rsidRPr="00D17189">
              <w:rPr>
                <w:rFonts w:cstheme="minorHAnsi"/>
                <w:b/>
                <w:bCs/>
                <w:color w:val="000000" w:themeColor="text1"/>
                <w:lang w:val="en-US"/>
              </w:rPr>
              <w:t>Warsaw: a deterrence summit that sets the stage for dialogue</w:t>
            </w:r>
          </w:p>
          <w:p w14:paraId="233ECF10" w14:textId="3B9A7041" w:rsidR="00AB0550" w:rsidRDefault="00AB0550" w:rsidP="00AB0550">
            <w:pPr>
              <w:rPr>
                <w:rFonts w:cstheme="minorHAnsi"/>
                <w:color w:val="000000" w:themeColor="text1"/>
                <w:lang w:val="en-US"/>
              </w:rPr>
            </w:pPr>
          </w:p>
          <w:p w14:paraId="778DB622" w14:textId="77777777" w:rsidR="00AB0550" w:rsidRPr="00C07707" w:rsidRDefault="00AB0550" w:rsidP="00AB0550">
            <w:pPr>
              <w:rPr>
                <w:rFonts w:cstheme="minorHAnsi"/>
                <w:b/>
                <w:bCs/>
                <w:color w:val="000000" w:themeColor="text1"/>
                <w:lang w:val="en-US"/>
              </w:rPr>
            </w:pPr>
            <w:r w:rsidRPr="00C07707">
              <w:rPr>
                <w:rFonts w:cstheme="minorHAnsi"/>
                <w:b/>
                <w:bCs/>
                <w:color w:val="000000" w:themeColor="text1"/>
                <w:lang w:val="en-US"/>
              </w:rPr>
              <w:t>1) Improving deterrence:</w:t>
            </w:r>
          </w:p>
          <w:p w14:paraId="2ED1467B" w14:textId="66F821FD" w:rsidR="00AB0550" w:rsidRDefault="00AB0550" w:rsidP="00AB0550">
            <w:pPr>
              <w:rPr>
                <w:rFonts w:cstheme="minorHAnsi"/>
                <w:color w:val="000000" w:themeColor="text1"/>
                <w:lang w:val="en-US"/>
              </w:rPr>
            </w:pPr>
            <w:r w:rsidRPr="00AB0550">
              <w:rPr>
                <w:rFonts w:cstheme="minorHAnsi"/>
                <w:color w:val="000000" w:themeColor="text1"/>
                <w:lang w:val="en-US"/>
              </w:rPr>
              <w:t xml:space="preserve">Russia’s military buildup and the circumvention of the Vienna Document creates clear security risks that NATO can mitigate most directly through the enhanced forward </w:t>
            </w:r>
            <w:proofErr w:type="spellStart"/>
            <w:r w:rsidRPr="00AB0550">
              <w:rPr>
                <w:rFonts w:cstheme="minorHAnsi"/>
                <w:color w:val="000000" w:themeColor="text1"/>
                <w:lang w:val="en-US"/>
              </w:rPr>
              <w:t>resence</w:t>
            </w:r>
            <w:proofErr w:type="spellEnd"/>
            <w:r w:rsidRPr="00AB0550">
              <w:rPr>
                <w:rFonts w:cstheme="minorHAnsi"/>
                <w:color w:val="000000" w:themeColor="text1"/>
                <w:lang w:val="en-US"/>
              </w:rPr>
              <w:t xml:space="preserve"> of rotations of NATO forces.</w:t>
            </w:r>
          </w:p>
          <w:p w14:paraId="583CE371" w14:textId="32EE3B8C" w:rsidR="00AB0550" w:rsidRDefault="00AB0550" w:rsidP="00AB0550">
            <w:pPr>
              <w:rPr>
                <w:rFonts w:cstheme="minorHAnsi"/>
                <w:color w:val="000000" w:themeColor="text1"/>
                <w:lang w:val="en-US"/>
              </w:rPr>
            </w:pPr>
          </w:p>
          <w:p w14:paraId="786F26FF" w14:textId="795BB4B2" w:rsidR="00AB0550" w:rsidRDefault="00AB0550" w:rsidP="00AB0550">
            <w:pPr>
              <w:rPr>
                <w:rFonts w:cstheme="minorHAnsi"/>
                <w:color w:val="000000" w:themeColor="text1"/>
                <w:lang w:val="en-US"/>
              </w:rPr>
            </w:pPr>
            <w:r w:rsidRPr="00AB0550">
              <w:rPr>
                <w:rFonts w:cstheme="minorHAnsi"/>
                <w:color w:val="000000" w:themeColor="text1"/>
                <w:lang w:val="en-US"/>
              </w:rPr>
              <w:t>NATO’s strengthened deterrence measures at Warsaw should be adequate for the alliance’s defense in their own right; they can make a further positive contribution if they are also sufficient in encouraging Russia to engage in dialogue and contribute to shoring up the security system in Europe.</w:t>
            </w:r>
          </w:p>
          <w:p w14:paraId="4E30192F" w14:textId="2642F81E" w:rsidR="00AB0550" w:rsidRDefault="00AB0550" w:rsidP="00AB0550">
            <w:pPr>
              <w:rPr>
                <w:rFonts w:cstheme="minorHAnsi"/>
                <w:color w:val="000000" w:themeColor="text1"/>
                <w:lang w:val="en-US"/>
              </w:rPr>
            </w:pPr>
          </w:p>
          <w:p w14:paraId="72355AC8" w14:textId="68843E96" w:rsidR="00AB0550" w:rsidRDefault="00AB0550" w:rsidP="00AB0550">
            <w:pPr>
              <w:rPr>
                <w:rFonts w:cstheme="minorHAnsi"/>
                <w:color w:val="000000" w:themeColor="text1"/>
                <w:lang w:val="en-US"/>
              </w:rPr>
            </w:pPr>
            <w:r w:rsidRPr="00AB0550">
              <w:rPr>
                <w:rFonts w:cstheme="minorHAnsi"/>
                <w:color w:val="000000" w:themeColor="text1"/>
                <w:lang w:val="en-US"/>
              </w:rPr>
              <w:t>It should also be stressed that they are a result of the current and foreseeable security environment and that, without a change in that environment, they will continue.</w:t>
            </w:r>
          </w:p>
          <w:p w14:paraId="3461F65B" w14:textId="2D34D02F" w:rsidR="00AB0550" w:rsidRDefault="00AB0550" w:rsidP="00AB0550">
            <w:pPr>
              <w:rPr>
                <w:rFonts w:cstheme="minorHAnsi"/>
                <w:color w:val="000000" w:themeColor="text1"/>
                <w:lang w:val="en-US"/>
              </w:rPr>
            </w:pPr>
          </w:p>
          <w:p w14:paraId="5E236DB8" w14:textId="169B84AB" w:rsidR="00AB0550" w:rsidRDefault="00AB0550" w:rsidP="00AB0550">
            <w:pPr>
              <w:rPr>
                <w:rFonts w:cstheme="minorHAnsi"/>
                <w:color w:val="000000" w:themeColor="text1"/>
                <w:lang w:val="en-US"/>
              </w:rPr>
            </w:pPr>
            <w:r w:rsidRPr="00AB0550">
              <w:rPr>
                <w:rFonts w:cstheme="minorHAnsi"/>
                <w:color w:val="000000" w:themeColor="text1"/>
                <w:lang w:val="en-US"/>
              </w:rPr>
              <w:t>This does not mean abandoning the NATO-Russia Founding Act; although Russia has violated it, it is still useful, for it launched structures that could be used for dialogue.</w:t>
            </w:r>
          </w:p>
          <w:p w14:paraId="673D3F21" w14:textId="33ABB8DE" w:rsidR="00AB0550" w:rsidRDefault="00AB0550" w:rsidP="00AB0550">
            <w:pPr>
              <w:rPr>
                <w:rFonts w:cstheme="minorHAnsi"/>
                <w:color w:val="000000" w:themeColor="text1"/>
                <w:lang w:val="en-US"/>
              </w:rPr>
            </w:pPr>
          </w:p>
          <w:p w14:paraId="5DDFFB5B" w14:textId="44A5842A" w:rsidR="00AB0550" w:rsidRDefault="00AB0550" w:rsidP="00AB0550">
            <w:pPr>
              <w:rPr>
                <w:rFonts w:cstheme="minorHAnsi"/>
                <w:color w:val="000000" w:themeColor="text1"/>
                <w:lang w:val="en-US"/>
              </w:rPr>
            </w:pPr>
            <w:r w:rsidRPr="00AB0550">
              <w:rPr>
                <w:rFonts w:cstheme="minorHAnsi"/>
                <w:color w:val="000000" w:themeColor="text1"/>
                <w:lang w:val="en-US"/>
              </w:rPr>
              <w:t xml:space="preserve">At the same time, NATO could express—as it did in the 1979 dual-track decision—an openness to discussions with Russia that could include transparency, inspections, and verifiable mutual limitations. This would preserve the viability of NATO’s strategy if Russia does </w:t>
            </w:r>
            <w:r w:rsidRPr="00AB0550">
              <w:rPr>
                <w:rFonts w:cstheme="minorHAnsi"/>
                <w:color w:val="000000" w:themeColor="text1"/>
                <w:lang w:val="en-US"/>
              </w:rPr>
              <w:lastRenderedPageBreak/>
              <w:t>not take up the offer, while setting the terms of a potential dialogue.</w:t>
            </w:r>
          </w:p>
          <w:p w14:paraId="5DDBD169" w14:textId="77777777" w:rsidR="00D17189" w:rsidRDefault="00D17189" w:rsidP="00AB0550">
            <w:pPr>
              <w:rPr>
                <w:rFonts w:cstheme="minorHAnsi"/>
                <w:color w:val="000000" w:themeColor="text1"/>
                <w:lang w:val="en-US"/>
              </w:rPr>
            </w:pPr>
          </w:p>
          <w:p w14:paraId="35B66E59" w14:textId="1DED5EBA" w:rsidR="00AB0550" w:rsidRDefault="00AB0550" w:rsidP="00AB0550">
            <w:pPr>
              <w:rPr>
                <w:rFonts w:cstheme="minorHAnsi"/>
                <w:color w:val="000000" w:themeColor="text1"/>
                <w:lang w:val="en-US"/>
              </w:rPr>
            </w:pPr>
            <w:r w:rsidRPr="00AB0550">
              <w:rPr>
                <w:rFonts w:cstheme="minorHAnsi"/>
                <w:color w:val="000000" w:themeColor="text1"/>
                <w:lang w:val="en-US"/>
              </w:rPr>
              <w:t>As key players in current reassurance measures, Germany and the United States should support the adoption, in Warsaw, of further deterrence measures</w:t>
            </w:r>
            <w:r w:rsidR="00162182">
              <w:rPr>
                <w:rFonts w:cstheme="minorHAnsi"/>
                <w:color w:val="000000" w:themeColor="text1"/>
                <w:lang w:val="en-US"/>
              </w:rPr>
              <w:t xml:space="preserve">, </w:t>
            </w:r>
            <w:r w:rsidRPr="00AB0550">
              <w:rPr>
                <w:rFonts w:cstheme="minorHAnsi"/>
                <w:color w:val="000000" w:themeColor="text1"/>
                <w:lang w:val="en-US"/>
              </w:rPr>
              <w:t>which could be of rotational nature</w:t>
            </w:r>
            <w:r w:rsidR="00162182">
              <w:rPr>
                <w:rFonts w:cstheme="minorHAnsi"/>
                <w:color w:val="000000" w:themeColor="text1"/>
                <w:lang w:val="en-US"/>
              </w:rPr>
              <w:t xml:space="preserve">, </w:t>
            </w:r>
            <w:r w:rsidRPr="00AB0550">
              <w:rPr>
                <w:rFonts w:cstheme="minorHAnsi"/>
                <w:color w:val="000000" w:themeColor="text1"/>
                <w:lang w:val="en-US"/>
              </w:rPr>
              <w:t>and be prepared to expand their current contributions, such as troop numbers. They should also seek to convince other allies to increase their contributions.</w:t>
            </w:r>
          </w:p>
          <w:p w14:paraId="22EDA1D8" w14:textId="11668D99" w:rsidR="00AB0550" w:rsidRDefault="00AB0550" w:rsidP="00AB0550">
            <w:pPr>
              <w:rPr>
                <w:rFonts w:cstheme="minorHAnsi"/>
                <w:color w:val="000000" w:themeColor="text1"/>
                <w:lang w:val="en-US"/>
              </w:rPr>
            </w:pPr>
          </w:p>
          <w:p w14:paraId="099D0ABD" w14:textId="77777777" w:rsidR="00D17189" w:rsidRDefault="00D17189" w:rsidP="00AB0550">
            <w:pPr>
              <w:rPr>
                <w:rFonts w:cstheme="minorHAnsi"/>
                <w:color w:val="000000" w:themeColor="text1"/>
                <w:lang w:val="en-US"/>
              </w:rPr>
            </w:pPr>
          </w:p>
          <w:p w14:paraId="2652EDEA" w14:textId="2F95319C" w:rsidR="00AB0550" w:rsidRPr="00D17189" w:rsidRDefault="00AB0550" w:rsidP="00AB0550">
            <w:pPr>
              <w:rPr>
                <w:rFonts w:cstheme="minorHAnsi"/>
                <w:b/>
                <w:bCs/>
                <w:color w:val="000000" w:themeColor="text1"/>
                <w:lang w:val="en-US"/>
              </w:rPr>
            </w:pPr>
            <w:r w:rsidRPr="00D17189">
              <w:rPr>
                <w:rFonts w:cstheme="minorHAnsi"/>
                <w:b/>
                <w:bCs/>
                <w:color w:val="000000" w:themeColor="text1"/>
                <w:lang w:val="en-US"/>
              </w:rPr>
              <w:t>2) Defining the potential for dialogue:</w:t>
            </w:r>
          </w:p>
          <w:p w14:paraId="7FAA1A9D" w14:textId="3BCBF1BF" w:rsidR="00AB0550" w:rsidRDefault="00AB0550" w:rsidP="00AB0550">
            <w:pPr>
              <w:rPr>
                <w:rFonts w:cstheme="minorHAnsi"/>
                <w:color w:val="000000" w:themeColor="text1"/>
                <w:lang w:val="en-US"/>
              </w:rPr>
            </w:pPr>
          </w:p>
          <w:p w14:paraId="54A03284" w14:textId="77777777" w:rsidR="00AB0550" w:rsidRPr="00AB0550" w:rsidRDefault="00AB0550" w:rsidP="00AB0550">
            <w:pPr>
              <w:rPr>
                <w:rFonts w:cstheme="minorHAnsi"/>
                <w:color w:val="000000" w:themeColor="text1"/>
                <w:lang w:val="en-US"/>
              </w:rPr>
            </w:pPr>
            <w:r w:rsidRPr="00AB0550">
              <w:rPr>
                <w:rFonts w:cstheme="minorHAnsi"/>
                <w:color w:val="000000" w:themeColor="text1"/>
                <w:lang w:val="en-US"/>
              </w:rPr>
              <w:t>Dialogue requires a partner.</w:t>
            </w:r>
          </w:p>
          <w:p w14:paraId="1A05F7D8" w14:textId="53B6AFBE" w:rsidR="00AB0550" w:rsidRDefault="00AB0550" w:rsidP="00AB0550">
            <w:pPr>
              <w:rPr>
                <w:rFonts w:cstheme="minorHAnsi"/>
                <w:color w:val="000000" w:themeColor="text1"/>
                <w:lang w:val="en-US"/>
              </w:rPr>
            </w:pPr>
            <w:r w:rsidRPr="00AB0550">
              <w:rPr>
                <w:rFonts w:cstheme="minorHAnsi"/>
                <w:color w:val="000000" w:themeColor="text1"/>
                <w:lang w:val="en-US"/>
              </w:rPr>
              <w:t>Yet, there are serious doubts about Russia’s credibility, given its flagrant violations of international law and the principles of European security. Moscow has shown little interest in discussing transparency or arms control and has not made substantial propositions.</w:t>
            </w:r>
          </w:p>
          <w:p w14:paraId="2280F78C" w14:textId="48A58270" w:rsidR="00AB0550" w:rsidRDefault="00AB0550" w:rsidP="00AB0550">
            <w:pPr>
              <w:rPr>
                <w:rFonts w:cstheme="minorHAnsi"/>
                <w:color w:val="000000" w:themeColor="text1"/>
                <w:lang w:val="en-US"/>
              </w:rPr>
            </w:pPr>
          </w:p>
          <w:p w14:paraId="0FEF344B" w14:textId="77777777" w:rsidR="00D17189" w:rsidRDefault="00D17189" w:rsidP="00AB0550">
            <w:pPr>
              <w:rPr>
                <w:rFonts w:cstheme="minorHAnsi"/>
                <w:color w:val="000000" w:themeColor="text1"/>
                <w:lang w:val="en-US"/>
              </w:rPr>
            </w:pPr>
          </w:p>
          <w:p w14:paraId="1089CE98" w14:textId="234B0443" w:rsidR="00AB0550" w:rsidRDefault="00AB0550" w:rsidP="00AB0550">
            <w:pPr>
              <w:rPr>
                <w:rFonts w:cstheme="minorHAnsi"/>
                <w:color w:val="000000" w:themeColor="text1"/>
                <w:lang w:val="en-US"/>
              </w:rPr>
            </w:pPr>
            <w:r w:rsidRPr="00AB0550">
              <w:rPr>
                <w:rFonts w:cstheme="minorHAnsi"/>
                <w:color w:val="000000" w:themeColor="text1"/>
                <w:lang w:val="en-US"/>
              </w:rPr>
              <w:t>Rather, its saber-rattling attitude and military buildup seem to point in the opposite direction.</w:t>
            </w:r>
            <w:r>
              <w:rPr>
                <w:rFonts w:cstheme="minorHAnsi"/>
                <w:color w:val="000000" w:themeColor="text1"/>
                <w:lang w:val="en-US"/>
              </w:rPr>
              <w:t xml:space="preserve"> </w:t>
            </w:r>
            <w:r w:rsidRPr="00AB0550">
              <w:rPr>
                <w:rFonts w:cstheme="minorHAnsi"/>
                <w:color w:val="000000" w:themeColor="text1"/>
                <w:lang w:val="en-US"/>
              </w:rPr>
              <w:t>This should not impede allies from coupling a strengthened force posture with an openness to dialogue; yet, it demonstrates how difficult the task ahead will be.</w:t>
            </w:r>
          </w:p>
          <w:p w14:paraId="0F23A1DB" w14:textId="65051943" w:rsidR="00AB0550" w:rsidRDefault="00AB0550" w:rsidP="00AB0550">
            <w:pPr>
              <w:rPr>
                <w:rFonts w:cstheme="minorHAnsi"/>
                <w:color w:val="000000" w:themeColor="text1"/>
                <w:lang w:val="en-US"/>
              </w:rPr>
            </w:pPr>
          </w:p>
          <w:p w14:paraId="0FA6FCDB" w14:textId="2925736F" w:rsidR="00AB0550" w:rsidRDefault="00AB0550" w:rsidP="00AB0550">
            <w:pPr>
              <w:rPr>
                <w:rFonts w:cstheme="minorHAnsi"/>
                <w:color w:val="000000" w:themeColor="text1"/>
                <w:lang w:val="en-US"/>
              </w:rPr>
            </w:pPr>
            <w:r w:rsidRPr="00AB0550">
              <w:rPr>
                <w:rFonts w:cstheme="minorHAnsi"/>
                <w:color w:val="000000" w:themeColor="text1"/>
                <w:lang w:val="en-US"/>
              </w:rPr>
              <w:t>Any dialogue should thus take place without illusions, and participants should remain cognizant that Russia may seek to use dialogue to sow dissension and divide NATO members rather than to promote security and stability.</w:t>
            </w:r>
          </w:p>
          <w:p w14:paraId="1CCA3202" w14:textId="13ED318C" w:rsidR="00AB0550" w:rsidRDefault="00AB0550" w:rsidP="00AB0550">
            <w:pPr>
              <w:rPr>
                <w:rFonts w:cstheme="minorHAnsi"/>
                <w:color w:val="000000" w:themeColor="text1"/>
                <w:lang w:val="en-US"/>
              </w:rPr>
            </w:pPr>
          </w:p>
          <w:p w14:paraId="6A11F32A" w14:textId="77777777" w:rsidR="00D17189" w:rsidRDefault="00D17189" w:rsidP="00B41EB5">
            <w:pPr>
              <w:rPr>
                <w:rFonts w:cstheme="minorHAnsi"/>
                <w:color w:val="000000" w:themeColor="text1"/>
                <w:lang w:val="en-US"/>
              </w:rPr>
            </w:pPr>
          </w:p>
          <w:p w14:paraId="5791590B" w14:textId="09E9D160" w:rsidR="00472318" w:rsidRDefault="00AB0550" w:rsidP="00B41EB5">
            <w:pPr>
              <w:rPr>
                <w:rFonts w:cstheme="minorHAnsi"/>
                <w:color w:val="000000" w:themeColor="text1"/>
                <w:lang w:val="en-US"/>
              </w:rPr>
            </w:pPr>
            <w:r w:rsidRPr="00AB0550">
              <w:rPr>
                <w:rFonts w:cstheme="minorHAnsi"/>
                <w:color w:val="000000" w:themeColor="text1"/>
                <w:lang w:val="en-US"/>
              </w:rPr>
              <w:t xml:space="preserve">Therefore, allies should agree on a set of principles that would undergird future bilateral and multilateral engagements with Russia, otherwise the impetus to </w:t>
            </w:r>
            <w:r w:rsidRPr="00AB0550">
              <w:rPr>
                <w:rFonts w:cstheme="minorHAnsi"/>
                <w:color w:val="000000" w:themeColor="text1"/>
                <w:lang w:val="en-US"/>
              </w:rPr>
              <w:lastRenderedPageBreak/>
              <w:t>restart a dialogue in the hope of managing tensions will outpace NATO’s ability internally to rationalize it and maintain unity.</w:t>
            </w:r>
          </w:p>
          <w:p w14:paraId="2D4C9D5A" w14:textId="0A4A1842" w:rsidR="00472318" w:rsidRPr="009D1F3B" w:rsidRDefault="00472318" w:rsidP="00B41EB5">
            <w:pPr>
              <w:rPr>
                <w:rFonts w:cstheme="minorHAnsi"/>
                <w:color w:val="000000" w:themeColor="text1"/>
                <w:lang w:val="en-US"/>
              </w:rPr>
            </w:pPr>
          </w:p>
        </w:tc>
        <w:tc>
          <w:tcPr>
            <w:tcW w:w="3980" w:type="dxa"/>
          </w:tcPr>
          <w:p w14:paraId="7FF14048" w14:textId="77777777" w:rsidR="00472318" w:rsidRPr="00D17189" w:rsidRDefault="00AB0550" w:rsidP="00B41EB5">
            <w:pPr>
              <w:rPr>
                <w:rFonts w:cstheme="minorHAnsi"/>
                <w:b/>
                <w:bCs/>
                <w:color w:val="000000" w:themeColor="text1"/>
                <w:lang w:val="pt-BR"/>
              </w:rPr>
            </w:pPr>
            <w:r w:rsidRPr="00D17189">
              <w:rPr>
                <w:rFonts w:cstheme="minorHAnsi"/>
                <w:b/>
                <w:bCs/>
                <w:color w:val="000000" w:themeColor="text1"/>
                <w:lang w:val="pt-BR"/>
              </w:rPr>
              <w:lastRenderedPageBreak/>
              <w:t>OTAN precisa de dissuasão e diálogo: definindo o novo equilíbrio em vista da Cúpula de Varsóvia</w:t>
            </w:r>
          </w:p>
          <w:p w14:paraId="48893E12" w14:textId="77777777" w:rsidR="00AB0550" w:rsidRDefault="00AB0550" w:rsidP="00B41EB5">
            <w:pPr>
              <w:rPr>
                <w:rFonts w:cstheme="minorHAnsi"/>
                <w:color w:val="000000" w:themeColor="text1"/>
                <w:lang w:val="pt-BR"/>
              </w:rPr>
            </w:pPr>
          </w:p>
          <w:p w14:paraId="5912D5E6" w14:textId="77777777" w:rsidR="00AB0550" w:rsidRDefault="00D17189" w:rsidP="00B41EB5">
            <w:pPr>
              <w:rPr>
                <w:rFonts w:cstheme="minorHAnsi"/>
                <w:color w:val="000000" w:themeColor="text1"/>
                <w:lang w:val="pt-BR"/>
              </w:rPr>
            </w:pPr>
            <w:r w:rsidRPr="00D17189">
              <w:rPr>
                <w:rFonts w:cstheme="minorHAnsi"/>
                <w:color w:val="000000" w:themeColor="text1"/>
                <w:lang w:val="pt-BR"/>
              </w:rPr>
              <w:t>Por Jeffrey Rathke e Claudia Major</w:t>
            </w:r>
          </w:p>
          <w:p w14:paraId="76FF3B93" w14:textId="77777777" w:rsidR="00D17189" w:rsidRDefault="00D17189" w:rsidP="00D17189">
            <w:pPr>
              <w:rPr>
                <w:rFonts w:cstheme="minorHAnsi"/>
                <w:color w:val="000000" w:themeColor="text1"/>
                <w:lang w:val="pt-BR"/>
              </w:rPr>
            </w:pPr>
          </w:p>
          <w:p w14:paraId="1D003591" w14:textId="7F40E0DB" w:rsidR="00D17189" w:rsidRPr="00D17189" w:rsidRDefault="00D17189" w:rsidP="00D17189">
            <w:pPr>
              <w:rPr>
                <w:rFonts w:cstheme="minorHAnsi"/>
                <w:color w:val="000000" w:themeColor="text1"/>
                <w:lang w:val="pt-BR"/>
              </w:rPr>
            </w:pPr>
            <w:r w:rsidRPr="00D17189">
              <w:rPr>
                <w:rFonts w:cstheme="minorHAnsi"/>
                <w:color w:val="000000" w:themeColor="text1"/>
                <w:lang w:val="pt-BR"/>
              </w:rPr>
              <w:t>Dissuasão está de volta à Europa.</w:t>
            </w:r>
          </w:p>
          <w:p w14:paraId="4CF35D78" w14:textId="28CBABAA" w:rsidR="00D17189" w:rsidRDefault="00D17189" w:rsidP="00D17189">
            <w:pPr>
              <w:rPr>
                <w:rFonts w:cstheme="minorHAnsi"/>
                <w:color w:val="000000" w:themeColor="text1"/>
                <w:lang w:val="pt-BR"/>
              </w:rPr>
            </w:pPr>
            <w:r w:rsidRPr="00D17189">
              <w:rPr>
                <w:rFonts w:cstheme="minorHAnsi"/>
                <w:color w:val="000000" w:themeColor="text1"/>
                <w:lang w:val="pt-BR"/>
              </w:rPr>
              <w:t>Com a</w:t>
            </w:r>
            <w:r w:rsidR="00C07707">
              <w:rPr>
                <w:rFonts w:cstheme="minorHAnsi"/>
                <w:color w:val="000000" w:themeColor="text1"/>
                <w:lang w:val="pt-BR"/>
              </w:rPr>
              <w:t xml:space="preserve"> proximidade da cúpula da</w:t>
            </w:r>
            <w:r w:rsidRPr="00D17189">
              <w:rPr>
                <w:rFonts w:cstheme="minorHAnsi"/>
                <w:color w:val="000000" w:themeColor="text1"/>
                <w:lang w:val="pt-BR"/>
              </w:rPr>
              <w:t xml:space="preserve"> OTAN</w:t>
            </w:r>
            <w:r w:rsidR="00C07707">
              <w:rPr>
                <w:rFonts w:cstheme="minorHAnsi"/>
                <w:color w:val="000000" w:themeColor="text1"/>
                <w:lang w:val="pt-BR"/>
              </w:rPr>
              <w:t xml:space="preserve"> </w:t>
            </w:r>
            <w:r w:rsidRPr="00D17189">
              <w:rPr>
                <w:rFonts w:cstheme="minorHAnsi"/>
                <w:color w:val="000000" w:themeColor="text1"/>
                <w:lang w:val="pt-BR"/>
              </w:rPr>
              <w:t>em Varsóvia, em julho, os aliados estão adaptando este novo conceito às novas configurações de segurança em vigor na Europa desde a crise de 2014 na Ucrânia.</w:t>
            </w:r>
          </w:p>
          <w:p w14:paraId="097A857A" w14:textId="77777777" w:rsidR="00D17189" w:rsidRDefault="00D17189" w:rsidP="00D17189">
            <w:pPr>
              <w:rPr>
                <w:rFonts w:cstheme="minorHAnsi"/>
                <w:color w:val="000000" w:themeColor="text1"/>
                <w:lang w:val="pt-BR"/>
              </w:rPr>
            </w:pPr>
          </w:p>
          <w:p w14:paraId="3DCE26D8" w14:textId="77777777" w:rsidR="008D5558" w:rsidRDefault="008D5558" w:rsidP="00D17189">
            <w:pPr>
              <w:rPr>
                <w:rFonts w:cstheme="minorHAnsi"/>
                <w:color w:val="000000" w:themeColor="text1"/>
                <w:lang w:val="pt-BR"/>
              </w:rPr>
            </w:pPr>
          </w:p>
          <w:p w14:paraId="03338EF3" w14:textId="760F2367" w:rsidR="00D17189" w:rsidRDefault="00D17189" w:rsidP="00D17189">
            <w:pPr>
              <w:rPr>
                <w:rFonts w:cstheme="minorHAnsi"/>
                <w:color w:val="000000" w:themeColor="text1"/>
                <w:lang w:val="pt-BR"/>
              </w:rPr>
            </w:pPr>
            <w:r w:rsidRPr="00D17189">
              <w:rPr>
                <w:rFonts w:cstheme="minorHAnsi"/>
                <w:color w:val="000000" w:themeColor="text1"/>
                <w:lang w:val="pt-BR"/>
              </w:rPr>
              <w:t>No entanto, a dissuasão está intrinsecamente ligada ao diálogo: es</w:t>
            </w:r>
            <w:r w:rsidR="00C07707">
              <w:rPr>
                <w:rFonts w:cstheme="minorHAnsi"/>
                <w:color w:val="000000" w:themeColor="text1"/>
                <w:lang w:val="pt-BR"/>
              </w:rPr>
              <w:t>s</w:t>
            </w:r>
            <w:r w:rsidRPr="00D17189">
              <w:rPr>
                <w:rFonts w:cstheme="minorHAnsi"/>
                <w:color w:val="000000" w:themeColor="text1"/>
                <w:lang w:val="pt-BR"/>
              </w:rPr>
              <w:t xml:space="preserve">es são os dois pilares da estratégia da OTAN, conforme definido no </w:t>
            </w:r>
            <w:r w:rsidR="00C07707">
              <w:rPr>
                <w:rFonts w:cstheme="minorHAnsi"/>
                <w:color w:val="000000" w:themeColor="text1"/>
                <w:lang w:val="pt-BR"/>
              </w:rPr>
              <w:t>R</w:t>
            </w:r>
            <w:r w:rsidRPr="00D17189">
              <w:rPr>
                <w:rFonts w:cstheme="minorHAnsi"/>
                <w:color w:val="000000" w:themeColor="text1"/>
                <w:lang w:val="pt-BR"/>
              </w:rPr>
              <w:t>elatório Harmel de 1967.</w:t>
            </w:r>
          </w:p>
          <w:p w14:paraId="4C5D7C40" w14:textId="77777777" w:rsidR="00D17189" w:rsidRDefault="00D17189" w:rsidP="00D17189">
            <w:pPr>
              <w:rPr>
                <w:rFonts w:cstheme="minorHAnsi"/>
                <w:color w:val="000000" w:themeColor="text1"/>
                <w:lang w:val="pt-BR"/>
              </w:rPr>
            </w:pPr>
          </w:p>
          <w:p w14:paraId="2EBEA388" w14:textId="77777777" w:rsidR="00D17189" w:rsidRDefault="00D17189" w:rsidP="00D17189">
            <w:pPr>
              <w:rPr>
                <w:rFonts w:cstheme="minorHAnsi"/>
                <w:b/>
                <w:bCs/>
                <w:color w:val="000000" w:themeColor="text1"/>
                <w:lang w:val="pt-BR"/>
              </w:rPr>
            </w:pPr>
            <w:r w:rsidRPr="00D17189">
              <w:rPr>
                <w:rFonts w:cstheme="minorHAnsi"/>
                <w:b/>
                <w:bCs/>
                <w:color w:val="000000" w:themeColor="text1"/>
                <w:lang w:val="pt-BR"/>
              </w:rPr>
              <w:t>Varsóvia: uma cúpula de dissuasão que prepara o terreno para o diálogo</w:t>
            </w:r>
          </w:p>
          <w:p w14:paraId="748805B4" w14:textId="77777777" w:rsidR="00D17189" w:rsidRDefault="00D17189" w:rsidP="00D17189">
            <w:pPr>
              <w:rPr>
                <w:rFonts w:cstheme="minorHAnsi"/>
                <w:b/>
                <w:bCs/>
                <w:color w:val="000000" w:themeColor="text1"/>
                <w:lang w:val="pt-BR"/>
              </w:rPr>
            </w:pPr>
          </w:p>
          <w:p w14:paraId="212F4828" w14:textId="39F0F499" w:rsidR="00D17189" w:rsidRPr="00C07707" w:rsidRDefault="00D17189" w:rsidP="00D17189">
            <w:pPr>
              <w:rPr>
                <w:rFonts w:cstheme="minorHAnsi"/>
                <w:b/>
                <w:bCs/>
                <w:color w:val="000000" w:themeColor="text1"/>
                <w:lang w:val="pt-BR"/>
              </w:rPr>
            </w:pPr>
            <w:r w:rsidRPr="00C07707">
              <w:rPr>
                <w:rFonts w:cstheme="minorHAnsi"/>
                <w:b/>
                <w:bCs/>
                <w:color w:val="000000" w:themeColor="text1"/>
                <w:lang w:val="pt-BR"/>
              </w:rPr>
              <w:t xml:space="preserve">1) </w:t>
            </w:r>
            <w:r w:rsidR="00162182">
              <w:rPr>
                <w:rFonts w:cstheme="minorHAnsi"/>
                <w:b/>
                <w:bCs/>
                <w:color w:val="000000" w:themeColor="text1"/>
                <w:lang w:val="pt-BR"/>
              </w:rPr>
              <w:t>Aperfeiçoamento da</w:t>
            </w:r>
            <w:r w:rsidRPr="00C07707">
              <w:rPr>
                <w:rFonts w:cstheme="minorHAnsi"/>
                <w:b/>
                <w:bCs/>
                <w:color w:val="000000" w:themeColor="text1"/>
                <w:lang w:val="pt-BR"/>
              </w:rPr>
              <w:t xml:space="preserve"> dissuasão: </w:t>
            </w:r>
          </w:p>
          <w:p w14:paraId="283AAC13" w14:textId="6227C06C" w:rsidR="00D17189" w:rsidRDefault="00D17189" w:rsidP="00D17189">
            <w:pPr>
              <w:rPr>
                <w:rFonts w:cstheme="minorHAnsi"/>
                <w:color w:val="000000" w:themeColor="text1"/>
                <w:lang w:val="pt-BR"/>
              </w:rPr>
            </w:pPr>
            <w:r w:rsidRPr="00D17189">
              <w:rPr>
                <w:rFonts w:cstheme="minorHAnsi"/>
                <w:color w:val="000000" w:themeColor="text1"/>
                <w:lang w:val="pt-BR"/>
              </w:rPr>
              <w:t>O aumento militar da Rússia e a evasão do Documento de Viena criaram riscos de segurança claros que a OTAN pode mitigar mais diretamente por meio d</w:t>
            </w:r>
            <w:r w:rsidR="00C07707">
              <w:rPr>
                <w:rFonts w:cstheme="minorHAnsi"/>
                <w:color w:val="000000" w:themeColor="text1"/>
                <w:lang w:val="pt-BR"/>
              </w:rPr>
              <w:t>e</w:t>
            </w:r>
            <w:r w:rsidRPr="00D17189">
              <w:rPr>
                <w:rFonts w:cstheme="minorHAnsi"/>
                <w:color w:val="000000" w:themeColor="text1"/>
                <w:lang w:val="pt-BR"/>
              </w:rPr>
              <w:t xml:space="preserve"> maior resistência à frente das rotações das forças da OTAN.</w:t>
            </w:r>
          </w:p>
          <w:p w14:paraId="7F44C178" w14:textId="77777777" w:rsidR="00D17189" w:rsidRDefault="00D17189" w:rsidP="00D17189">
            <w:pPr>
              <w:rPr>
                <w:rFonts w:cstheme="minorHAnsi"/>
                <w:color w:val="000000" w:themeColor="text1"/>
                <w:lang w:val="pt-BR"/>
              </w:rPr>
            </w:pPr>
          </w:p>
          <w:p w14:paraId="3B0AB42C" w14:textId="5113B84A" w:rsidR="00D17189" w:rsidRDefault="00D17189" w:rsidP="00D17189">
            <w:pPr>
              <w:rPr>
                <w:rFonts w:cstheme="minorHAnsi"/>
                <w:color w:val="000000" w:themeColor="text1"/>
                <w:lang w:val="pt-BR"/>
              </w:rPr>
            </w:pPr>
            <w:r w:rsidRPr="00D17189">
              <w:rPr>
                <w:rFonts w:cstheme="minorHAnsi"/>
                <w:color w:val="000000" w:themeColor="text1"/>
                <w:lang w:val="pt-BR"/>
              </w:rPr>
              <w:t>As medidas de dissuasão reforçadas da OTAN em Varsóvia devem ser adequadas para a defesa da aliança por direito próprio; podem dar um contributo positivo adicional se também forem suficientes para encorajar a Rússia a dialogar e contribuir para reforçar o sistema de segurança na Europa.</w:t>
            </w:r>
          </w:p>
          <w:p w14:paraId="7C91D18F" w14:textId="0121639F" w:rsidR="00D17189" w:rsidRDefault="00D17189" w:rsidP="00D17189">
            <w:pPr>
              <w:rPr>
                <w:rFonts w:cstheme="minorHAnsi"/>
                <w:color w:val="000000" w:themeColor="text1"/>
                <w:lang w:val="pt-BR"/>
              </w:rPr>
            </w:pPr>
          </w:p>
          <w:p w14:paraId="78F78A39" w14:textId="721802AF" w:rsidR="00D17189" w:rsidRDefault="00D17189" w:rsidP="00D17189">
            <w:pPr>
              <w:rPr>
                <w:rFonts w:cstheme="minorHAnsi"/>
                <w:color w:val="000000" w:themeColor="text1"/>
                <w:lang w:val="pt-BR"/>
              </w:rPr>
            </w:pPr>
            <w:r w:rsidRPr="00D17189">
              <w:rPr>
                <w:rFonts w:cstheme="minorHAnsi"/>
                <w:color w:val="000000" w:themeColor="text1"/>
                <w:lang w:val="pt-BR"/>
              </w:rPr>
              <w:t>Deve-se ressaltar também que são resultado do ambiente de segurança atual e previsível e que, sem uma mudança nesse ambiente, continuarão.</w:t>
            </w:r>
          </w:p>
          <w:p w14:paraId="1E2BE22C" w14:textId="1490695C" w:rsidR="00D17189" w:rsidRDefault="00D17189" w:rsidP="00D17189">
            <w:pPr>
              <w:rPr>
                <w:rFonts w:cstheme="minorHAnsi"/>
                <w:color w:val="000000" w:themeColor="text1"/>
                <w:lang w:val="pt-BR"/>
              </w:rPr>
            </w:pPr>
          </w:p>
          <w:p w14:paraId="0326AAD1" w14:textId="7D73D6D5" w:rsidR="00D17189" w:rsidRDefault="00D17189" w:rsidP="00D17189">
            <w:pPr>
              <w:rPr>
                <w:rFonts w:cstheme="minorHAnsi"/>
                <w:color w:val="000000" w:themeColor="text1"/>
                <w:lang w:val="pt-BR"/>
              </w:rPr>
            </w:pPr>
          </w:p>
          <w:p w14:paraId="6005B173" w14:textId="1BF1425C" w:rsidR="00D17189" w:rsidRDefault="00D17189" w:rsidP="00D17189">
            <w:pPr>
              <w:rPr>
                <w:rFonts w:cstheme="minorHAnsi"/>
                <w:color w:val="000000" w:themeColor="text1"/>
                <w:lang w:val="pt-BR"/>
              </w:rPr>
            </w:pPr>
            <w:r w:rsidRPr="00D17189">
              <w:rPr>
                <w:rFonts w:cstheme="minorHAnsi"/>
                <w:color w:val="000000" w:themeColor="text1"/>
                <w:lang w:val="pt-BR"/>
              </w:rPr>
              <w:t>Isso não significa abandonar o Ato Fundador OTAN-Rússia; embora a Rússia o tenha violado, ainda é útil, pois lançou estruturas que poderiam ser usadas para o diálogo.</w:t>
            </w:r>
          </w:p>
          <w:p w14:paraId="118B8344" w14:textId="303771E4" w:rsidR="00D17189" w:rsidRDefault="00D17189" w:rsidP="00D17189">
            <w:pPr>
              <w:rPr>
                <w:rFonts w:cstheme="minorHAnsi"/>
                <w:color w:val="000000" w:themeColor="text1"/>
                <w:lang w:val="pt-BR"/>
              </w:rPr>
            </w:pPr>
          </w:p>
          <w:p w14:paraId="5A18F56B" w14:textId="1AE70A29" w:rsidR="00D17189" w:rsidRDefault="00D17189" w:rsidP="00D17189">
            <w:pPr>
              <w:rPr>
                <w:rFonts w:cstheme="minorHAnsi"/>
                <w:color w:val="000000" w:themeColor="text1"/>
                <w:lang w:val="pt-BR"/>
              </w:rPr>
            </w:pPr>
            <w:r w:rsidRPr="00D17189">
              <w:rPr>
                <w:rFonts w:cstheme="minorHAnsi"/>
                <w:color w:val="000000" w:themeColor="text1"/>
                <w:lang w:val="pt-BR"/>
              </w:rPr>
              <w:t xml:space="preserve">Ao mesmo tempo, a OTAN poderia expressar — como fez na decisão de duas vias de 1979 — uma abertura para discussões com a Rússia que poderia incluir transparência, inspeções e limitações mútuas verificáveis. Isso preservaria a viabilidade da estratégia da OTAN se a Rússia não aceitar a oferta, ao </w:t>
            </w:r>
            <w:r w:rsidRPr="00D17189">
              <w:rPr>
                <w:rFonts w:cstheme="minorHAnsi"/>
                <w:color w:val="000000" w:themeColor="text1"/>
                <w:lang w:val="pt-BR"/>
              </w:rPr>
              <w:lastRenderedPageBreak/>
              <w:t>mesmo tempo que estabelece os termos de um potencial diálogo.</w:t>
            </w:r>
          </w:p>
          <w:p w14:paraId="64D03572" w14:textId="229F32CE" w:rsidR="00D17189" w:rsidRDefault="00D17189" w:rsidP="00D17189">
            <w:pPr>
              <w:rPr>
                <w:rFonts w:cstheme="minorHAnsi"/>
                <w:color w:val="000000" w:themeColor="text1"/>
                <w:lang w:val="pt-BR"/>
              </w:rPr>
            </w:pPr>
          </w:p>
          <w:p w14:paraId="506CBAE3" w14:textId="7430E272" w:rsidR="00D17189" w:rsidRDefault="00D17189" w:rsidP="00D17189">
            <w:pPr>
              <w:rPr>
                <w:rFonts w:cstheme="minorHAnsi"/>
                <w:color w:val="000000" w:themeColor="text1"/>
                <w:lang w:val="pt-BR"/>
              </w:rPr>
            </w:pPr>
            <w:r w:rsidRPr="00D17189">
              <w:rPr>
                <w:rFonts w:cstheme="minorHAnsi"/>
                <w:color w:val="000000" w:themeColor="text1"/>
                <w:lang w:val="pt-BR"/>
              </w:rPr>
              <w:t>Como atores-chave nas atuais medidas de tranquilização, a Alemanha e os Estados Unidos deveriam apoiar a adoção, em Varsóvia, de novas medidas de dissuasão</w:t>
            </w:r>
            <w:r w:rsidR="00162182">
              <w:rPr>
                <w:rFonts w:cstheme="minorHAnsi"/>
                <w:color w:val="000000" w:themeColor="text1"/>
                <w:lang w:val="pt-BR"/>
              </w:rPr>
              <w:t>,</w:t>
            </w:r>
            <w:r w:rsidRPr="00D17189">
              <w:rPr>
                <w:rFonts w:cstheme="minorHAnsi"/>
                <w:color w:val="000000" w:themeColor="text1"/>
                <w:lang w:val="pt-BR"/>
              </w:rPr>
              <w:t xml:space="preserve"> </w:t>
            </w:r>
            <w:r w:rsidR="00162182">
              <w:rPr>
                <w:rFonts w:cstheme="minorHAnsi"/>
                <w:color w:val="000000" w:themeColor="text1"/>
                <w:lang w:val="pt-BR"/>
              </w:rPr>
              <w:t xml:space="preserve">  </w:t>
            </w:r>
            <w:r w:rsidRPr="00D17189">
              <w:rPr>
                <w:rFonts w:cstheme="minorHAnsi"/>
                <w:color w:val="000000" w:themeColor="text1"/>
                <w:lang w:val="pt-BR"/>
              </w:rPr>
              <w:t>que poderiam ser de natureza rotativa</w:t>
            </w:r>
            <w:r w:rsidR="00162182">
              <w:rPr>
                <w:rFonts w:cstheme="minorHAnsi"/>
                <w:color w:val="000000" w:themeColor="text1"/>
                <w:lang w:val="pt-BR"/>
              </w:rPr>
              <w:t xml:space="preserve">, </w:t>
            </w:r>
            <w:r w:rsidRPr="00D17189">
              <w:rPr>
                <w:rFonts w:cstheme="minorHAnsi"/>
                <w:color w:val="000000" w:themeColor="text1"/>
                <w:lang w:val="pt-BR"/>
              </w:rPr>
              <w:t>e estar preparados para expandir suas contribuições atuais, como o número de soldados. Eles também devem tentar convencer outros aliados a aumentar suas contribuições.</w:t>
            </w:r>
          </w:p>
          <w:p w14:paraId="4D06095C" w14:textId="7BA1F8AB" w:rsidR="00D17189" w:rsidRDefault="00D17189" w:rsidP="00D17189">
            <w:pPr>
              <w:rPr>
                <w:rFonts w:cstheme="minorHAnsi"/>
                <w:color w:val="000000" w:themeColor="text1"/>
                <w:lang w:val="pt-BR"/>
              </w:rPr>
            </w:pPr>
          </w:p>
          <w:p w14:paraId="0FCDA7B1" w14:textId="28224B7C" w:rsidR="00D17189" w:rsidRPr="00D17189" w:rsidRDefault="00D17189" w:rsidP="00D17189">
            <w:pPr>
              <w:rPr>
                <w:rFonts w:cstheme="minorHAnsi"/>
                <w:b/>
                <w:bCs/>
                <w:color w:val="000000" w:themeColor="text1"/>
                <w:lang w:val="pt-BR"/>
              </w:rPr>
            </w:pPr>
            <w:r w:rsidRPr="00D17189">
              <w:rPr>
                <w:rFonts w:cstheme="minorHAnsi"/>
                <w:b/>
                <w:bCs/>
                <w:color w:val="000000" w:themeColor="text1"/>
                <w:lang w:val="pt-BR"/>
              </w:rPr>
              <w:t xml:space="preserve">2) </w:t>
            </w:r>
            <w:r w:rsidR="00162182">
              <w:rPr>
                <w:rFonts w:cstheme="minorHAnsi"/>
                <w:b/>
                <w:bCs/>
                <w:color w:val="000000" w:themeColor="text1"/>
                <w:lang w:val="pt-BR"/>
              </w:rPr>
              <w:t>Definição do</w:t>
            </w:r>
            <w:r w:rsidRPr="00D17189">
              <w:rPr>
                <w:rFonts w:cstheme="minorHAnsi"/>
                <w:b/>
                <w:bCs/>
                <w:color w:val="000000" w:themeColor="text1"/>
                <w:lang w:val="pt-BR"/>
              </w:rPr>
              <w:t xml:space="preserve"> potencial para </w:t>
            </w:r>
            <w:r w:rsidR="00162182">
              <w:rPr>
                <w:rFonts w:cstheme="minorHAnsi"/>
                <w:b/>
                <w:bCs/>
                <w:color w:val="000000" w:themeColor="text1"/>
                <w:lang w:val="pt-BR"/>
              </w:rPr>
              <w:t>d</w:t>
            </w:r>
            <w:r w:rsidRPr="00D17189">
              <w:rPr>
                <w:rFonts w:cstheme="minorHAnsi"/>
                <w:b/>
                <w:bCs/>
                <w:color w:val="000000" w:themeColor="text1"/>
                <w:lang w:val="pt-BR"/>
              </w:rPr>
              <w:t>iálogo:</w:t>
            </w:r>
          </w:p>
          <w:p w14:paraId="003BF308" w14:textId="16E731E1" w:rsidR="00D17189" w:rsidRDefault="00D17189" w:rsidP="00D17189">
            <w:pPr>
              <w:rPr>
                <w:rFonts w:cstheme="minorHAnsi"/>
                <w:color w:val="000000" w:themeColor="text1"/>
                <w:lang w:val="pt-BR"/>
              </w:rPr>
            </w:pPr>
          </w:p>
          <w:p w14:paraId="3E715284" w14:textId="31B9E7E6" w:rsidR="00D17189" w:rsidRDefault="00D17189" w:rsidP="00D17189">
            <w:pPr>
              <w:rPr>
                <w:rFonts w:cstheme="minorHAnsi"/>
                <w:color w:val="000000" w:themeColor="text1"/>
                <w:lang w:val="pt-BR"/>
              </w:rPr>
            </w:pPr>
            <w:r w:rsidRPr="00D17189">
              <w:rPr>
                <w:rFonts w:cstheme="minorHAnsi"/>
                <w:color w:val="000000" w:themeColor="text1"/>
                <w:lang w:val="pt-BR"/>
              </w:rPr>
              <w:t>O diálogo requer um parceiro. No entanto, existem sérias dúvidas sobre a credibilidade da Rússia, dadas as suas flagrantes violações do direito internacional e dos princípios da segurança europeia. Moscou mostrou pouco interesse em discutir transparência ou controle de armas e não fez propostas substanciais.</w:t>
            </w:r>
          </w:p>
          <w:p w14:paraId="44023A85" w14:textId="248BE399" w:rsidR="00D17189" w:rsidRDefault="00D17189" w:rsidP="00D17189">
            <w:pPr>
              <w:rPr>
                <w:rFonts w:cstheme="minorHAnsi"/>
                <w:color w:val="000000" w:themeColor="text1"/>
                <w:lang w:val="pt-BR"/>
              </w:rPr>
            </w:pPr>
          </w:p>
          <w:p w14:paraId="25A731E9" w14:textId="2F2ABD52" w:rsidR="00D17189" w:rsidRDefault="00D17189" w:rsidP="00D17189">
            <w:pPr>
              <w:rPr>
                <w:rFonts w:cstheme="minorHAnsi"/>
                <w:color w:val="000000" w:themeColor="text1"/>
                <w:lang w:val="pt-BR"/>
              </w:rPr>
            </w:pPr>
            <w:r w:rsidRPr="00D17189">
              <w:rPr>
                <w:rFonts w:cstheme="minorHAnsi"/>
                <w:color w:val="000000" w:themeColor="text1"/>
                <w:lang w:val="pt-BR"/>
              </w:rPr>
              <w:t xml:space="preserve">Em vez disso, sua atitude </w:t>
            </w:r>
            <w:r w:rsidR="00C07707">
              <w:rPr>
                <w:rFonts w:cstheme="minorHAnsi"/>
                <w:color w:val="000000" w:themeColor="text1"/>
                <w:lang w:val="pt-BR"/>
              </w:rPr>
              <w:t>intimidadora</w:t>
            </w:r>
            <w:r w:rsidRPr="00D17189">
              <w:rPr>
                <w:rFonts w:cstheme="minorHAnsi"/>
                <w:color w:val="000000" w:themeColor="text1"/>
                <w:lang w:val="pt-BR"/>
              </w:rPr>
              <w:t xml:space="preserve"> e sua formação militar parecem apontar na direção oposta. Isso não deve impedir que os aliados combinem uma postura de força </w:t>
            </w:r>
            <w:r w:rsidR="00162182">
              <w:rPr>
                <w:rFonts w:cstheme="minorHAnsi"/>
                <w:color w:val="000000" w:themeColor="text1"/>
                <w:lang w:val="pt-BR"/>
              </w:rPr>
              <w:t>intensificada</w:t>
            </w:r>
            <w:r w:rsidRPr="00D17189">
              <w:rPr>
                <w:rFonts w:cstheme="minorHAnsi"/>
                <w:color w:val="000000" w:themeColor="text1"/>
                <w:lang w:val="pt-BR"/>
              </w:rPr>
              <w:t xml:space="preserve"> com uma abertura ao diálogo; ainda assim, demonstra o quão difícil será a tarefa que temos pela frente.</w:t>
            </w:r>
          </w:p>
          <w:p w14:paraId="676C9D5C" w14:textId="4CDDD35F" w:rsidR="00D17189" w:rsidRDefault="00D17189" w:rsidP="00D17189">
            <w:pPr>
              <w:rPr>
                <w:rFonts w:cstheme="minorHAnsi"/>
                <w:color w:val="000000" w:themeColor="text1"/>
                <w:lang w:val="pt-BR"/>
              </w:rPr>
            </w:pPr>
          </w:p>
          <w:p w14:paraId="22FE83BD" w14:textId="77777777" w:rsidR="00D17189" w:rsidRDefault="00D17189" w:rsidP="00D17189">
            <w:pPr>
              <w:rPr>
                <w:rFonts w:cstheme="minorHAnsi"/>
                <w:color w:val="000000" w:themeColor="text1"/>
                <w:lang w:val="pt-BR"/>
              </w:rPr>
            </w:pPr>
          </w:p>
          <w:p w14:paraId="7502D480" w14:textId="19109C04" w:rsidR="00D17189" w:rsidRDefault="00D17189" w:rsidP="00D17189">
            <w:pPr>
              <w:rPr>
                <w:rFonts w:cstheme="minorHAnsi"/>
                <w:color w:val="000000" w:themeColor="text1"/>
                <w:lang w:val="pt-BR"/>
              </w:rPr>
            </w:pPr>
            <w:r w:rsidRPr="00D17189">
              <w:rPr>
                <w:rFonts w:cstheme="minorHAnsi"/>
                <w:color w:val="000000" w:themeColor="text1"/>
                <w:lang w:val="pt-BR"/>
              </w:rPr>
              <w:t>Qualquer diálogo deve, portanto, ocorrer sem ilusões, e os participantes devem permanecer cientes de que a Rússia pode tentar usar o diálogo para semear dissensões e dividir os membros da OTAN, em vez de promover a segurança e a estabilidade.</w:t>
            </w:r>
          </w:p>
          <w:p w14:paraId="2D3DFB54" w14:textId="3DDF8FFF" w:rsidR="00D17189" w:rsidRDefault="00D17189" w:rsidP="00D17189">
            <w:pPr>
              <w:rPr>
                <w:rFonts w:cstheme="minorHAnsi"/>
                <w:color w:val="000000" w:themeColor="text1"/>
                <w:lang w:val="pt-BR"/>
              </w:rPr>
            </w:pPr>
          </w:p>
          <w:p w14:paraId="44A3F23E" w14:textId="5859515C" w:rsidR="00D17189" w:rsidRDefault="00D17189" w:rsidP="00D17189">
            <w:pPr>
              <w:rPr>
                <w:rFonts w:cstheme="minorHAnsi"/>
                <w:color w:val="000000" w:themeColor="text1"/>
                <w:lang w:val="pt-BR"/>
              </w:rPr>
            </w:pPr>
            <w:r w:rsidRPr="00D17189">
              <w:rPr>
                <w:rFonts w:cstheme="minorHAnsi"/>
                <w:color w:val="000000" w:themeColor="text1"/>
                <w:lang w:val="pt-BR"/>
              </w:rPr>
              <w:t xml:space="preserve">Portanto, os aliados devem concordar com um conjunto de princípios que sustentariam futuros compromissos bilaterais e multilaterais com a Rússia, </w:t>
            </w:r>
            <w:r w:rsidRPr="00D17189">
              <w:rPr>
                <w:rFonts w:cstheme="minorHAnsi"/>
                <w:color w:val="000000" w:themeColor="text1"/>
                <w:lang w:val="pt-BR"/>
              </w:rPr>
              <w:lastRenderedPageBreak/>
              <w:t xml:space="preserve">caso contrário, o ímpeto para reiniciar um diálogo na esperança de administrar as tensões ultrapassará a capacidade da OTAN de racionalizá-lo </w:t>
            </w:r>
            <w:r w:rsidR="00162182">
              <w:rPr>
                <w:rFonts w:cstheme="minorHAnsi"/>
                <w:color w:val="000000" w:themeColor="text1"/>
                <w:lang w:val="pt-BR"/>
              </w:rPr>
              <w:t xml:space="preserve">internamente </w:t>
            </w:r>
            <w:r w:rsidRPr="00D17189">
              <w:rPr>
                <w:rFonts w:cstheme="minorHAnsi"/>
                <w:color w:val="000000" w:themeColor="text1"/>
                <w:lang w:val="pt-BR"/>
              </w:rPr>
              <w:t>e manter a unidade.</w:t>
            </w:r>
          </w:p>
          <w:p w14:paraId="6F3D484E" w14:textId="0BBF0AB7" w:rsidR="00D17189" w:rsidRPr="00D17189" w:rsidRDefault="00D17189" w:rsidP="00D17189">
            <w:pPr>
              <w:rPr>
                <w:rFonts w:cstheme="minorHAnsi"/>
                <w:color w:val="000000" w:themeColor="text1"/>
                <w:lang w:val="pt-BR"/>
              </w:rPr>
            </w:pPr>
          </w:p>
        </w:tc>
      </w:tr>
    </w:tbl>
    <w:p w14:paraId="273A4F89" w14:textId="00DA78EE" w:rsidR="00BA77C8" w:rsidRPr="00AB0550" w:rsidRDefault="00BA77C8" w:rsidP="00472318">
      <w:pPr>
        <w:jc w:val="center"/>
        <w:rPr>
          <w:rFonts w:cstheme="minorHAnsi"/>
          <w:color w:val="000000" w:themeColor="text1"/>
          <w:lang w:val="pt-BR"/>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365562">
        <w:trPr>
          <w:cantSplit/>
          <w:jc w:val="center"/>
        </w:trPr>
        <w:tc>
          <w:tcPr>
            <w:tcW w:w="3024" w:type="dxa"/>
            <w:vAlign w:val="center"/>
          </w:tcPr>
          <w:p w14:paraId="16ACC2D0" w14:textId="0586AA5B" w:rsidR="00C32E34" w:rsidRPr="00C07707" w:rsidRDefault="00365562" w:rsidP="00365562">
            <w:pPr>
              <w:pStyle w:val="Table-Body"/>
              <w:rPr>
                <w:rFonts w:asciiTheme="minorHAnsi" w:hAnsiTheme="minorHAnsi" w:cstheme="minorHAnsi"/>
                <w:noProof w:val="0"/>
                <w:sz w:val="22"/>
                <w:szCs w:val="22"/>
                <w:lang w:val="en-US"/>
              </w:rPr>
            </w:pPr>
            <w:r w:rsidRPr="00C07707">
              <w:rPr>
                <w:rFonts w:asciiTheme="minorHAnsi" w:hAnsiTheme="minorHAnsi" w:cstheme="minorHAnsi"/>
                <w:noProof w:val="0"/>
                <w:sz w:val="22"/>
                <w:szCs w:val="22"/>
                <w:lang w:val="en-US"/>
              </w:rPr>
              <w:t>NATO</w:t>
            </w:r>
          </w:p>
        </w:tc>
        <w:tc>
          <w:tcPr>
            <w:tcW w:w="3024" w:type="dxa"/>
            <w:vAlign w:val="center"/>
          </w:tcPr>
          <w:p w14:paraId="7CBA6972" w14:textId="2439D6A6" w:rsidR="00C32E34" w:rsidRPr="00C07707" w:rsidRDefault="00365562" w:rsidP="00365562">
            <w:pPr>
              <w:pStyle w:val="Table-Body"/>
              <w:rPr>
                <w:rFonts w:asciiTheme="minorHAnsi" w:hAnsiTheme="minorHAnsi" w:cstheme="minorHAnsi"/>
                <w:noProof w:val="0"/>
                <w:sz w:val="22"/>
                <w:szCs w:val="22"/>
                <w:lang w:val="en-US"/>
              </w:rPr>
            </w:pPr>
            <w:r w:rsidRPr="00C07707">
              <w:rPr>
                <w:rFonts w:asciiTheme="minorHAnsi" w:hAnsiTheme="minorHAnsi" w:cstheme="minorHAnsi"/>
                <w:noProof w:val="0"/>
                <w:sz w:val="22"/>
                <w:szCs w:val="22"/>
                <w:lang w:val="en-US"/>
              </w:rPr>
              <w:t>OTAN</w:t>
            </w:r>
          </w:p>
        </w:tc>
        <w:tc>
          <w:tcPr>
            <w:tcW w:w="3024" w:type="dxa"/>
            <w:vAlign w:val="center"/>
          </w:tcPr>
          <w:p w14:paraId="166C29FC" w14:textId="53F41B6B" w:rsidR="00C32E34" w:rsidRPr="00C07707" w:rsidRDefault="0096267F" w:rsidP="00365562">
            <w:pPr>
              <w:pStyle w:val="Table-Body"/>
              <w:rPr>
                <w:rFonts w:asciiTheme="minorHAnsi" w:hAnsiTheme="minorHAnsi" w:cstheme="minorHAnsi"/>
                <w:noProof w:val="0"/>
                <w:sz w:val="22"/>
                <w:szCs w:val="22"/>
                <w:lang w:val="en-US"/>
              </w:rPr>
            </w:pPr>
            <w:r w:rsidRPr="00C07707">
              <w:rPr>
                <w:rFonts w:asciiTheme="minorHAnsi" w:hAnsiTheme="minorHAnsi" w:cstheme="minorHAnsi"/>
                <w:noProof w:val="0"/>
                <w:sz w:val="22"/>
                <w:szCs w:val="22"/>
                <w:lang w:val="en-US"/>
              </w:rPr>
              <w:t>In the first appearance of NATO, can I put in parentheses the meaning of the acronym, since it is something common to do in journalistic texts, although the source text does not contain?</w:t>
            </w:r>
          </w:p>
        </w:tc>
      </w:tr>
      <w:tr w:rsidR="00C32E34" w:rsidRPr="002169F4" w14:paraId="4DF1136B" w14:textId="77777777" w:rsidTr="009657B8">
        <w:trPr>
          <w:cantSplit/>
          <w:jc w:val="center"/>
        </w:trPr>
        <w:tc>
          <w:tcPr>
            <w:tcW w:w="3024" w:type="dxa"/>
          </w:tcPr>
          <w:p w14:paraId="08EA4513" w14:textId="77777777" w:rsidR="00C32E34" w:rsidRPr="0096267F" w:rsidRDefault="00C32E34" w:rsidP="009657B8">
            <w:pPr>
              <w:pStyle w:val="Table-Body"/>
              <w:rPr>
                <w:noProof w:val="0"/>
                <w:lang w:val="en-US"/>
              </w:rPr>
            </w:pPr>
          </w:p>
        </w:tc>
        <w:tc>
          <w:tcPr>
            <w:tcW w:w="3024" w:type="dxa"/>
          </w:tcPr>
          <w:p w14:paraId="1E68AD91" w14:textId="77777777" w:rsidR="00C32E34" w:rsidRPr="0096267F" w:rsidRDefault="00C32E34" w:rsidP="009657B8">
            <w:pPr>
              <w:pStyle w:val="Table-Body"/>
              <w:rPr>
                <w:noProof w:val="0"/>
                <w:lang w:val="en-US"/>
              </w:rPr>
            </w:pPr>
          </w:p>
        </w:tc>
        <w:tc>
          <w:tcPr>
            <w:tcW w:w="3024" w:type="dxa"/>
          </w:tcPr>
          <w:p w14:paraId="30D747FA" w14:textId="77777777" w:rsidR="00C32E34" w:rsidRPr="0096267F"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96267F" w:rsidRDefault="00C32E34" w:rsidP="009657B8">
            <w:pPr>
              <w:pStyle w:val="Table-Body"/>
              <w:rPr>
                <w:noProof w:val="0"/>
                <w:lang w:val="en-US"/>
              </w:rPr>
            </w:pPr>
          </w:p>
        </w:tc>
        <w:tc>
          <w:tcPr>
            <w:tcW w:w="3024" w:type="dxa"/>
          </w:tcPr>
          <w:p w14:paraId="17648998" w14:textId="77777777" w:rsidR="00C32E34" w:rsidRPr="0096267F" w:rsidRDefault="00C32E34" w:rsidP="009657B8">
            <w:pPr>
              <w:pStyle w:val="Table-Body"/>
              <w:rPr>
                <w:noProof w:val="0"/>
                <w:lang w:val="en-US"/>
              </w:rPr>
            </w:pPr>
          </w:p>
        </w:tc>
        <w:tc>
          <w:tcPr>
            <w:tcW w:w="3024" w:type="dxa"/>
          </w:tcPr>
          <w:p w14:paraId="06FF579A" w14:textId="77777777" w:rsidR="00C32E34" w:rsidRPr="0096267F"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96267F" w:rsidRDefault="00C32E34" w:rsidP="009657B8">
            <w:pPr>
              <w:pStyle w:val="Table-Body"/>
              <w:rPr>
                <w:noProof w:val="0"/>
                <w:lang w:val="en-US"/>
              </w:rPr>
            </w:pPr>
          </w:p>
        </w:tc>
        <w:tc>
          <w:tcPr>
            <w:tcW w:w="3024" w:type="dxa"/>
          </w:tcPr>
          <w:p w14:paraId="56BA7AC2" w14:textId="77777777" w:rsidR="00C32E34" w:rsidRPr="0096267F" w:rsidRDefault="00C32E34" w:rsidP="009657B8">
            <w:pPr>
              <w:pStyle w:val="Table-Body"/>
              <w:rPr>
                <w:noProof w:val="0"/>
                <w:lang w:val="en-US"/>
              </w:rPr>
            </w:pPr>
          </w:p>
        </w:tc>
        <w:tc>
          <w:tcPr>
            <w:tcW w:w="3024" w:type="dxa"/>
          </w:tcPr>
          <w:p w14:paraId="4B044BBA" w14:textId="77777777" w:rsidR="00C32E34" w:rsidRPr="0096267F"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96267F" w:rsidRDefault="00C32E34" w:rsidP="009657B8">
            <w:pPr>
              <w:pStyle w:val="Table-Body"/>
              <w:rPr>
                <w:noProof w:val="0"/>
                <w:lang w:val="en-US"/>
              </w:rPr>
            </w:pPr>
          </w:p>
        </w:tc>
        <w:tc>
          <w:tcPr>
            <w:tcW w:w="3024" w:type="dxa"/>
          </w:tcPr>
          <w:p w14:paraId="1510CF7B" w14:textId="77777777" w:rsidR="00C32E34" w:rsidRPr="0096267F" w:rsidRDefault="00C32E34" w:rsidP="009657B8">
            <w:pPr>
              <w:pStyle w:val="Table-Body"/>
              <w:rPr>
                <w:noProof w:val="0"/>
                <w:lang w:val="en-US"/>
              </w:rPr>
            </w:pPr>
          </w:p>
        </w:tc>
        <w:tc>
          <w:tcPr>
            <w:tcW w:w="3024" w:type="dxa"/>
          </w:tcPr>
          <w:p w14:paraId="40F45CE1" w14:textId="77777777" w:rsidR="00C32E34" w:rsidRPr="0096267F" w:rsidRDefault="00C32E34" w:rsidP="009657B8">
            <w:pPr>
              <w:pStyle w:val="Table-Body"/>
              <w:rPr>
                <w:noProof w:val="0"/>
                <w:lang w:val="en-US"/>
              </w:rPr>
            </w:pPr>
          </w:p>
        </w:tc>
      </w:tr>
    </w:tbl>
    <w:p w14:paraId="6D7649CD" w14:textId="77777777" w:rsidR="00C32E34" w:rsidRPr="0096267F"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C07707" w14:paraId="562BF658" w14:textId="77777777" w:rsidTr="0029735B">
        <w:trPr>
          <w:cantSplit/>
          <w:jc w:val="center"/>
        </w:trPr>
        <w:tc>
          <w:tcPr>
            <w:tcW w:w="4525" w:type="dxa"/>
            <w:shd w:val="clear" w:color="auto" w:fill="B4C6E7" w:themeFill="accent1" w:themeFillTint="66"/>
          </w:tcPr>
          <w:p w14:paraId="591D87F5" w14:textId="77777777" w:rsidR="00C32E34" w:rsidRPr="00C07707" w:rsidRDefault="00C32E34" w:rsidP="009657B8">
            <w:pPr>
              <w:pStyle w:val="Table-Heading"/>
              <w:jc w:val="center"/>
              <w:rPr>
                <w:rFonts w:asciiTheme="minorHAnsi" w:hAnsiTheme="minorHAnsi" w:cstheme="minorHAnsi"/>
                <w:noProof w:val="0"/>
                <w:sz w:val="22"/>
                <w:szCs w:val="22"/>
                <w:lang w:val="en-US"/>
              </w:rPr>
            </w:pPr>
            <w:r w:rsidRPr="00C07707">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C07707" w:rsidRDefault="00C32E34" w:rsidP="009657B8">
            <w:pPr>
              <w:pStyle w:val="Table-Heading"/>
              <w:jc w:val="center"/>
              <w:rPr>
                <w:rFonts w:asciiTheme="minorHAnsi" w:hAnsiTheme="minorHAnsi" w:cstheme="minorHAnsi"/>
                <w:noProof w:val="0"/>
                <w:sz w:val="22"/>
                <w:szCs w:val="22"/>
                <w:lang w:val="en-US"/>
              </w:rPr>
            </w:pPr>
            <w:r w:rsidRPr="00C07707">
              <w:rPr>
                <w:rFonts w:asciiTheme="minorHAnsi" w:hAnsiTheme="minorHAnsi" w:cstheme="minorHAnsi"/>
                <w:noProof w:val="0"/>
                <w:sz w:val="22"/>
                <w:szCs w:val="22"/>
                <w:lang w:val="en-US"/>
              </w:rPr>
              <w:t>General / Specific (Term)</w:t>
            </w:r>
          </w:p>
        </w:tc>
      </w:tr>
      <w:tr w:rsidR="00C32E34" w:rsidRPr="00C07707" w14:paraId="4045A722" w14:textId="77777777" w:rsidTr="009657B8">
        <w:trPr>
          <w:cantSplit/>
          <w:jc w:val="center"/>
        </w:trPr>
        <w:tc>
          <w:tcPr>
            <w:tcW w:w="4525" w:type="dxa"/>
          </w:tcPr>
          <w:p w14:paraId="6F968208" w14:textId="78497C8A" w:rsidR="00C2282C" w:rsidRPr="00C07707" w:rsidRDefault="00177AFA" w:rsidP="009657B8">
            <w:pPr>
              <w:pStyle w:val="Table-Body"/>
              <w:rPr>
                <w:rFonts w:asciiTheme="minorHAnsi" w:hAnsiTheme="minorHAnsi" w:cstheme="minorHAnsi"/>
                <w:noProof w:val="0"/>
                <w:sz w:val="22"/>
                <w:szCs w:val="22"/>
                <w:lang w:val="es-AR"/>
              </w:rPr>
            </w:pPr>
            <w:hyperlink r:id="rId10" w:history="1">
              <w:r w:rsidR="00C2282C" w:rsidRPr="00C07707">
                <w:rPr>
                  <w:rStyle w:val="Hyperlink"/>
                  <w:rFonts w:asciiTheme="minorHAnsi" w:hAnsiTheme="minorHAnsi" w:cstheme="minorHAnsi"/>
                  <w:noProof w:val="0"/>
                  <w:sz w:val="22"/>
                  <w:szCs w:val="22"/>
                  <w:lang w:val="es-AR"/>
                </w:rPr>
                <w:t>https://exame.com/mundo/otan-e-russia-retomam-dialogo-apos-cupula-de-varsovia/</w:t>
              </w:r>
            </w:hyperlink>
          </w:p>
        </w:tc>
        <w:tc>
          <w:tcPr>
            <w:tcW w:w="4547" w:type="dxa"/>
          </w:tcPr>
          <w:p w14:paraId="7C07549B" w14:textId="79475C49" w:rsidR="00C32E34" w:rsidRPr="00C07707" w:rsidRDefault="00365562" w:rsidP="009657B8">
            <w:pPr>
              <w:pStyle w:val="Table-Body"/>
              <w:rPr>
                <w:rFonts w:asciiTheme="minorHAnsi" w:hAnsiTheme="minorHAnsi" w:cstheme="minorHAnsi"/>
                <w:noProof w:val="0"/>
                <w:sz w:val="22"/>
                <w:szCs w:val="22"/>
                <w:lang w:val="es-AR"/>
              </w:rPr>
            </w:pPr>
            <w:r w:rsidRPr="00C07707">
              <w:rPr>
                <w:rFonts w:asciiTheme="minorHAnsi" w:hAnsiTheme="minorHAnsi" w:cstheme="minorHAnsi"/>
                <w:noProof w:val="0"/>
                <w:sz w:val="22"/>
                <w:szCs w:val="22"/>
                <w:lang w:val="es-AR"/>
              </w:rPr>
              <w:t>General (</w:t>
            </w:r>
            <w:r w:rsidRPr="00C07707">
              <w:rPr>
                <w:rFonts w:asciiTheme="minorHAnsi" w:hAnsiTheme="minorHAnsi" w:cstheme="minorHAnsi"/>
                <w:color w:val="000000" w:themeColor="text1"/>
                <w:sz w:val="22"/>
                <w:szCs w:val="22"/>
                <w:lang w:val="en-US"/>
              </w:rPr>
              <w:t>summit in Warsaw)</w:t>
            </w:r>
          </w:p>
        </w:tc>
      </w:tr>
      <w:tr w:rsidR="00C32E34" w:rsidRPr="00C07707" w14:paraId="279DF6CA" w14:textId="77777777" w:rsidTr="009657B8">
        <w:trPr>
          <w:cantSplit/>
          <w:jc w:val="center"/>
        </w:trPr>
        <w:tc>
          <w:tcPr>
            <w:tcW w:w="4525" w:type="dxa"/>
          </w:tcPr>
          <w:p w14:paraId="4B29A1B0" w14:textId="7F68ABB6" w:rsidR="00C32E34" w:rsidRPr="00C07707" w:rsidRDefault="00177AFA" w:rsidP="009657B8">
            <w:pPr>
              <w:pStyle w:val="Table-Body"/>
              <w:rPr>
                <w:rFonts w:asciiTheme="minorHAnsi" w:hAnsiTheme="minorHAnsi" w:cstheme="minorHAnsi"/>
                <w:noProof w:val="0"/>
                <w:sz w:val="22"/>
                <w:szCs w:val="22"/>
                <w:lang w:val="es-AR"/>
              </w:rPr>
            </w:pPr>
            <w:hyperlink r:id="rId11" w:history="1">
              <w:r w:rsidR="00365562" w:rsidRPr="00C07707">
                <w:rPr>
                  <w:rStyle w:val="Hyperlink"/>
                  <w:rFonts w:asciiTheme="minorHAnsi" w:hAnsiTheme="minorHAnsi" w:cstheme="minorHAnsi"/>
                  <w:noProof w:val="0"/>
                  <w:sz w:val="22"/>
                  <w:szCs w:val="22"/>
                  <w:lang w:val="es-AR"/>
                </w:rPr>
                <w:t>https://2009-2017.state.gov/t/avc/cca/c43837.htm</w:t>
              </w:r>
            </w:hyperlink>
          </w:p>
        </w:tc>
        <w:tc>
          <w:tcPr>
            <w:tcW w:w="4547" w:type="dxa"/>
          </w:tcPr>
          <w:p w14:paraId="172CAAB7" w14:textId="7A05D7CE" w:rsidR="00C32E34" w:rsidRPr="00C07707" w:rsidRDefault="00365562" w:rsidP="009657B8">
            <w:pPr>
              <w:pStyle w:val="Table-Body"/>
              <w:rPr>
                <w:rFonts w:asciiTheme="minorHAnsi" w:hAnsiTheme="minorHAnsi" w:cstheme="minorHAnsi"/>
                <w:noProof w:val="0"/>
                <w:sz w:val="22"/>
                <w:szCs w:val="22"/>
                <w:lang w:val="es-AR"/>
              </w:rPr>
            </w:pPr>
            <w:proofErr w:type="spellStart"/>
            <w:r w:rsidRPr="00C07707">
              <w:rPr>
                <w:rFonts w:asciiTheme="minorHAnsi" w:hAnsiTheme="minorHAnsi" w:cstheme="minorHAnsi"/>
                <w:noProof w:val="0"/>
                <w:sz w:val="22"/>
                <w:szCs w:val="22"/>
                <w:lang w:val="es-AR"/>
              </w:rPr>
              <w:t>Specific</w:t>
            </w:r>
            <w:proofErr w:type="spellEnd"/>
            <w:r w:rsidRPr="00C07707">
              <w:rPr>
                <w:rFonts w:asciiTheme="minorHAnsi" w:hAnsiTheme="minorHAnsi" w:cstheme="minorHAnsi"/>
                <w:noProof w:val="0"/>
                <w:sz w:val="22"/>
                <w:szCs w:val="22"/>
                <w:lang w:val="es-AR"/>
              </w:rPr>
              <w:t xml:space="preserve"> (</w:t>
            </w:r>
            <w:proofErr w:type="spellStart"/>
            <w:r w:rsidR="00C2282C" w:rsidRPr="00C07707">
              <w:rPr>
                <w:rFonts w:asciiTheme="minorHAnsi" w:hAnsiTheme="minorHAnsi" w:cstheme="minorHAnsi"/>
                <w:noProof w:val="0"/>
                <w:sz w:val="22"/>
                <w:szCs w:val="22"/>
                <w:lang w:val="es-AR"/>
              </w:rPr>
              <w:t>Vienna</w:t>
            </w:r>
            <w:proofErr w:type="spellEnd"/>
            <w:r w:rsidR="00C2282C" w:rsidRPr="00C07707">
              <w:rPr>
                <w:rFonts w:asciiTheme="minorHAnsi" w:hAnsiTheme="minorHAnsi" w:cstheme="minorHAnsi"/>
                <w:noProof w:val="0"/>
                <w:sz w:val="22"/>
                <w:szCs w:val="22"/>
                <w:lang w:val="es-AR"/>
              </w:rPr>
              <w:t xml:space="preserve"> </w:t>
            </w:r>
            <w:proofErr w:type="spellStart"/>
            <w:r w:rsidR="00C2282C" w:rsidRPr="00C07707">
              <w:rPr>
                <w:rFonts w:asciiTheme="minorHAnsi" w:hAnsiTheme="minorHAnsi" w:cstheme="minorHAnsi"/>
                <w:noProof w:val="0"/>
                <w:sz w:val="22"/>
                <w:szCs w:val="22"/>
                <w:lang w:val="es-AR"/>
              </w:rPr>
              <w:t>Document</w:t>
            </w:r>
            <w:proofErr w:type="spellEnd"/>
            <w:r w:rsidR="00C2282C" w:rsidRPr="00C07707">
              <w:rPr>
                <w:rFonts w:asciiTheme="minorHAnsi" w:hAnsiTheme="minorHAnsi" w:cstheme="minorHAnsi"/>
                <w:noProof w:val="0"/>
                <w:sz w:val="22"/>
                <w:szCs w:val="22"/>
                <w:lang w:val="es-AR"/>
              </w:rPr>
              <w:t>)</w:t>
            </w:r>
          </w:p>
        </w:tc>
      </w:tr>
      <w:tr w:rsidR="00C32E34" w:rsidRPr="00C07707" w14:paraId="429825D4" w14:textId="77777777" w:rsidTr="009657B8">
        <w:trPr>
          <w:cantSplit/>
          <w:jc w:val="center"/>
        </w:trPr>
        <w:tc>
          <w:tcPr>
            <w:tcW w:w="4525" w:type="dxa"/>
          </w:tcPr>
          <w:p w14:paraId="721161B8" w14:textId="552BB63B" w:rsidR="00C32E34" w:rsidRPr="00C07707" w:rsidRDefault="00177AFA" w:rsidP="009657B8">
            <w:pPr>
              <w:pStyle w:val="Table-Body"/>
              <w:rPr>
                <w:rFonts w:asciiTheme="minorHAnsi" w:hAnsiTheme="minorHAnsi" w:cstheme="minorHAnsi"/>
                <w:noProof w:val="0"/>
                <w:sz w:val="22"/>
                <w:szCs w:val="22"/>
                <w:lang w:val="es-AR"/>
              </w:rPr>
            </w:pPr>
            <w:hyperlink r:id="rId12" w:history="1">
              <w:r w:rsidR="00C2282C" w:rsidRPr="00C07707">
                <w:rPr>
                  <w:rStyle w:val="Hyperlink"/>
                  <w:rFonts w:asciiTheme="minorHAnsi" w:hAnsiTheme="minorHAnsi" w:cstheme="minorHAnsi"/>
                  <w:noProof w:val="0"/>
                  <w:sz w:val="22"/>
                  <w:szCs w:val="22"/>
                  <w:lang w:val="es-AR"/>
                </w:rPr>
                <w:t>https://www.nato.int/cps/en/natohq/official_texts_25470.htm</w:t>
              </w:r>
            </w:hyperlink>
          </w:p>
        </w:tc>
        <w:tc>
          <w:tcPr>
            <w:tcW w:w="4547" w:type="dxa"/>
          </w:tcPr>
          <w:p w14:paraId="1FDED4D8" w14:textId="1F80E991" w:rsidR="00C32E34" w:rsidRPr="00C07707" w:rsidRDefault="00C2282C" w:rsidP="009657B8">
            <w:pPr>
              <w:pStyle w:val="Table-Body"/>
              <w:rPr>
                <w:rFonts w:asciiTheme="minorHAnsi" w:hAnsiTheme="minorHAnsi" w:cstheme="minorHAnsi"/>
                <w:noProof w:val="0"/>
                <w:sz w:val="22"/>
                <w:szCs w:val="22"/>
                <w:lang w:val="es-AR"/>
              </w:rPr>
            </w:pPr>
            <w:proofErr w:type="spellStart"/>
            <w:r w:rsidRPr="00C07707">
              <w:rPr>
                <w:rFonts w:asciiTheme="minorHAnsi" w:hAnsiTheme="minorHAnsi" w:cstheme="minorHAnsi"/>
                <w:noProof w:val="0"/>
                <w:sz w:val="22"/>
                <w:szCs w:val="22"/>
                <w:lang w:val="es-AR"/>
              </w:rPr>
              <w:t>Specific</w:t>
            </w:r>
            <w:proofErr w:type="spellEnd"/>
            <w:r w:rsidRPr="00C07707">
              <w:rPr>
                <w:rFonts w:asciiTheme="minorHAnsi" w:hAnsiTheme="minorHAnsi" w:cstheme="minorHAnsi"/>
                <w:noProof w:val="0"/>
                <w:sz w:val="22"/>
                <w:szCs w:val="22"/>
                <w:lang w:val="es-AR"/>
              </w:rPr>
              <w:t xml:space="preserve"> (NATO-</w:t>
            </w:r>
            <w:proofErr w:type="spellStart"/>
            <w:r w:rsidRPr="00C07707">
              <w:rPr>
                <w:rFonts w:asciiTheme="minorHAnsi" w:hAnsiTheme="minorHAnsi" w:cstheme="minorHAnsi"/>
                <w:noProof w:val="0"/>
                <w:sz w:val="22"/>
                <w:szCs w:val="22"/>
                <w:lang w:val="es-AR"/>
              </w:rPr>
              <w:t>Russia</w:t>
            </w:r>
            <w:proofErr w:type="spellEnd"/>
            <w:r w:rsidRPr="00C07707">
              <w:rPr>
                <w:rFonts w:asciiTheme="minorHAnsi" w:hAnsiTheme="minorHAnsi" w:cstheme="minorHAnsi"/>
                <w:noProof w:val="0"/>
                <w:sz w:val="22"/>
                <w:szCs w:val="22"/>
                <w:lang w:val="es-AR"/>
              </w:rPr>
              <w:t xml:space="preserve"> </w:t>
            </w:r>
            <w:proofErr w:type="spellStart"/>
            <w:r w:rsidRPr="00C07707">
              <w:rPr>
                <w:rFonts w:asciiTheme="minorHAnsi" w:hAnsiTheme="minorHAnsi" w:cstheme="minorHAnsi"/>
                <w:noProof w:val="0"/>
                <w:sz w:val="22"/>
                <w:szCs w:val="22"/>
                <w:lang w:val="es-AR"/>
              </w:rPr>
              <w:t>Founding</w:t>
            </w:r>
            <w:proofErr w:type="spellEnd"/>
            <w:r w:rsidRPr="00C07707">
              <w:rPr>
                <w:rFonts w:asciiTheme="minorHAnsi" w:hAnsiTheme="minorHAnsi" w:cstheme="minorHAnsi"/>
                <w:noProof w:val="0"/>
                <w:sz w:val="22"/>
                <w:szCs w:val="22"/>
                <w:lang w:val="es-AR"/>
              </w:rPr>
              <w:t xml:space="preserve"> </w:t>
            </w:r>
            <w:proofErr w:type="spellStart"/>
            <w:r w:rsidRPr="00C07707">
              <w:rPr>
                <w:rFonts w:asciiTheme="minorHAnsi" w:hAnsiTheme="minorHAnsi" w:cstheme="minorHAnsi"/>
                <w:noProof w:val="0"/>
                <w:sz w:val="22"/>
                <w:szCs w:val="22"/>
                <w:lang w:val="es-AR"/>
              </w:rPr>
              <w:t>Act</w:t>
            </w:r>
            <w:proofErr w:type="spellEnd"/>
            <w:r w:rsidRPr="00C07707">
              <w:rPr>
                <w:rFonts w:asciiTheme="minorHAnsi" w:hAnsiTheme="minorHAnsi" w:cstheme="minorHAnsi"/>
                <w:noProof w:val="0"/>
                <w:sz w:val="22"/>
                <w:szCs w:val="22"/>
                <w:lang w:val="es-AR"/>
              </w:rPr>
              <w:t>)</w:t>
            </w:r>
          </w:p>
        </w:tc>
      </w:tr>
    </w:tbl>
    <w:p w14:paraId="61F01B2B" w14:textId="77777777" w:rsidR="00C32E34" w:rsidRPr="00365562" w:rsidRDefault="00C32E34" w:rsidP="00C32E34"/>
    <w:bookmarkEnd w:id="0"/>
    <w:p w14:paraId="45F1ADD4" w14:textId="065B27D6" w:rsidR="00145E62" w:rsidRPr="00162182" w:rsidRDefault="00222AEE" w:rsidP="00C32E34">
      <w:proofErr w:type="spellStart"/>
      <w:r>
        <w:t>Thanks</w:t>
      </w:r>
      <w:proofErr w:type="spellEnd"/>
      <w:r>
        <w:t>!</w:t>
      </w:r>
    </w:p>
    <w:p w14:paraId="2A5AB55E" w14:textId="77777777" w:rsidR="00145E62" w:rsidRDefault="00145E62" w:rsidP="00C32E34"/>
    <w:sectPr w:rsidR="00145E62">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5AA3D" w14:textId="77777777" w:rsidR="00177AFA" w:rsidRDefault="00177AFA">
      <w:pPr>
        <w:spacing w:after="0" w:line="240" w:lineRule="auto"/>
      </w:pPr>
      <w:r>
        <w:separator/>
      </w:r>
    </w:p>
  </w:endnote>
  <w:endnote w:type="continuationSeparator" w:id="0">
    <w:p w14:paraId="00A4387A" w14:textId="77777777" w:rsidR="00177AFA" w:rsidRDefault="00177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Footer"/>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CF0AE" w14:textId="77777777" w:rsidR="00177AFA" w:rsidRDefault="00177AFA">
      <w:pPr>
        <w:spacing w:after="0" w:line="240" w:lineRule="auto"/>
      </w:pPr>
      <w:r>
        <w:separator/>
      </w:r>
    </w:p>
  </w:footnote>
  <w:footnote w:type="continuationSeparator" w:id="0">
    <w:p w14:paraId="42A77CFD" w14:textId="77777777" w:rsidR="00177AFA" w:rsidRDefault="00177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Header"/>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177AFA" w:rsidP="00742B7C">
    <w:pPr>
      <w:pStyle w:val="Header"/>
      <w:jc w:val="right"/>
    </w:pP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1A0D07A9"/>
    <w:multiLevelType w:val="hybridMultilevel"/>
    <w:tmpl w:val="C534077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5283310"/>
    <w:multiLevelType w:val="hybridMultilevel"/>
    <w:tmpl w:val="7D1ABA8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4" w15:restartNumberingAfterBreak="0">
    <w:nsid w:val="3DB34A6A"/>
    <w:multiLevelType w:val="hybridMultilevel"/>
    <w:tmpl w:val="AA306C2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43B33A7"/>
    <w:multiLevelType w:val="hybridMultilevel"/>
    <w:tmpl w:val="1144B49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6EE410E"/>
    <w:multiLevelType w:val="hybridMultilevel"/>
    <w:tmpl w:val="7B30487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7"/>
  </w:num>
  <w:num w:numId="3">
    <w:abstractNumId w:val="3"/>
  </w:num>
  <w:num w:numId="4">
    <w:abstractNumId w:val="4"/>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wtbAwMzYwNzMztTRT0lEKTi0uzszPAykwrAUAN987EywAAAA="/>
  </w:docVars>
  <w:rsids>
    <w:rsidRoot w:val="00BA77C8"/>
    <w:rsid w:val="00010F48"/>
    <w:rsid w:val="00145E62"/>
    <w:rsid w:val="0016170D"/>
    <w:rsid w:val="00162182"/>
    <w:rsid w:val="00177AFA"/>
    <w:rsid w:val="001D5956"/>
    <w:rsid w:val="0020654A"/>
    <w:rsid w:val="00222AEE"/>
    <w:rsid w:val="002453A1"/>
    <w:rsid w:val="0029735B"/>
    <w:rsid w:val="002B46B3"/>
    <w:rsid w:val="00353074"/>
    <w:rsid w:val="00365562"/>
    <w:rsid w:val="00472318"/>
    <w:rsid w:val="004F2F1D"/>
    <w:rsid w:val="004F6D7A"/>
    <w:rsid w:val="00502332"/>
    <w:rsid w:val="0052582B"/>
    <w:rsid w:val="005725F5"/>
    <w:rsid w:val="00594BE1"/>
    <w:rsid w:val="00610FDA"/>
    <w:rsid w:val="006B63B5"/>
    <w:rsid w:val="006C56B2"/>
    <w:rsid w:val="00717925"/>
    <w:rsid w:val="007E5077"/>
    <w:rsid w:val="00814892"/>
    <w:rsid w:val="00817C43"/>
    <w:rsid w:val="0083356E"/>
    <w:rsid w:val="008B5D9C"/>
    <w:rsid w:val="008D5558"/>
    <w:rsid w:val="00900BB5"/>
    <w:rsid w:val="00915EC2"/>
    <w:rsid w:val="00947BA5"/>
    <w:rsid w:val="00955FE8"/>
    <w:rsid w:val="0096267F"/>
    <w:rsid w:val="00970A9B"/>
    <w:rsid w:val="00982732"/>
    <w:rsid w:val="00992EE4"/>
    <w:rsid w:val="00A513DB"/>
    <w:rsid w:val="00A6385E"/>
    <w:rsid w:val="00A64FA3"/>
    <w:rsid w:val="00A9682A"/>
    <w:rsid w:val="00AB0550"/>
    <w:rsid w:val="00B92973"/>
    <w:rsid w:val="00BA1735"/>
    <w:rsid w:val="00BA77C8"/>
    <w:rsid w:val="00C07707"/>
    <w:rsid w:val="00C2282C"/>
    <w:rsid w:val="00C32E34"/>
    <w:rsid w:val="00C43D38"/>
    <w:rsid w:val="00C85BFD"/>
    <w:rsid w:val="00CE7801"/>
    <w:rsid w:val="00CF4AA3"/>
    <w:rsid w:val="00D17189"/>
    <w:rsid w:val="00E23080"/>
    <w:rsid w:val="00EB2B02"/>
    <w:rsid w:val="00FA304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7189"/>
    <w:pPr>
      <w:ind w:left="720"/>
      <w:contextualSpacing/>
    </w:pPr>
  </w:style>
  <w:style w:type="character" w:styleId="Hyperlink">
    <w:name w:val="Hyperlink"/>
    <w:basedOn w:val="DefaultParagraphFont"/>
    <w:uiPriority w:val="99"/>
    <w:unhideWhenUsed/>
    <w:rsid w:val="00365562"/>
    <w:rPr>
      <w:color w:val="0563C1" w:themeColor="hyperlink"/>
      <w:u w:val="single"/>
    </w:rPr>
  </w:style>
  <w:style w:type="character" w:styleId="UnresolvedMention">
    <w:name w:val="Unresolved Mention"/>
    <w:basedOn w:val="DefaultParagraphFont"/>
    <w:uiPriority w:val="99"/>
    <w:semiHidden/>
    <w:unhideWhenUsed/>
    <w:rsid w:val="00365562"/>
    <w:rPr>
      <w:color w:val="605E5C"/>
      <w:shd w:val="clear" w:color="auto" w:fill="E1DFDD"/>
    </w:rPr>
  </w:style>
  <w:style w:type="character" w:styleId="CommentReference">
    <w:name w:val="annotation reference"/>
    <w:basedOn w:val="DefaultParagraphFont"/>
    <w:uiPriority w:val="99"/>
    <w:semiHidden/>
    <w:unhideWhenUsed/>
    <w:rsid w:val="00FA3046"/>
    <w:rPr>
      <w:sz w:val="16"/>
      <w:szCs w:val="16"/>
    </w:rPr>
  </w:style>
  <w:style w:type="paragraph" w:styleId="CommentText">
    <w:name w:val="annotation text"/>
    <w:basedOn w:val="Normal"/>
    <w:link w:val="CommentTextChar"/>
    <w:uiPriority w:val="99"/>
    <w:semiHidden/>
    <w:unhideWhenUsed/>
    <w:rsid w:val="00FA3046"/>
    <w:pPr>
      <w:spacing w:line="240" w:lineRule="auto"/>
    </w:pPr>
    <w:rPr>
      <w:sz w:val="20"/>
      <w:szCs w:val="20"/>
    </w:rPr>
  </w:style>
  <w:style w:type="character" w:customStyle="1" w:styleId="CommentTextChar">
    <w:name w:val="Comment Text Char"/>
    <w:basedOn w:val="DefaultParagraphFont"/>
    <w:link w:val="CommentText"/>
    <w:uiPriority w:val="99"/>
    <w:semiHidden/>
    <w:rsid w:val="00FA3046"/>
    <w:rPr>
      <w:sz w:val="20"/>
      <w:szCs w:val="20"/>
    </w:rPr>
  </w:style>
  <w:style w:type="paragraph" w:styleId="CommentSubject">
    <w:name w:val="annotation subject"/>
    <w:basedOn w:val="CommentText"/>
    <w:next w:val="CommentText"/>
    <w:link w:val="CommentSubjectChar"/>
    <w:uiPriority w:val="99"/>
    <w:semiHidden/>
    <w:unhideWhenUsed/>
    <w:rsid w:val="00FA3046"/>
    <w:rPr>
      <w:b/>
      <w:bCs/>
    </w:rPr>
  </w:style>
  <w:style w:type="character" w:customStyle="1" w:styleId="CommentSubjectChar">
    <w:name w:val="Comment Subject Char"/>
    <w:basedOn w:val="CommentTextChar"/>
    <w:link w:val="CommentSubject"/>
    <w:uiPriority w:val="99"/>
    <w:semiHidden/>
    <w:rsid w:val="00FA3046"/>
    <w:rPr>
      <w:b/>
      <w:bCs/>
      <w:sz w:val="20"/>
      <w:szCs w:val="20"/>
    </w:rPr>
  </w:style>
  <w:style w:type="character" w:styleId="Strong">
    <w:name w:val="Strong"/>
    <w:basedOn w:val="DefaultParagraphFont"/>
    <w:uiPriority w:val="22"/>
    <w:qFormat/>
    <w:rsid w:val="008B5D9C"/>
    <w:rPr>
      <w:b/>
      <w:bCs/>
    </w:rPr>
  </w:style>
  <w:style w:type="character" w:styleId="FollowedHyperlink">
    <w:name w:val="FollowedHyperlink"/>
    <w:basedOn w:val="DefaultParagraphFont"/>
    <w:uiPriority w:val="99"/>
    <w:semiHidden/>
    <w:unhideWhenUsed/>
    <w:rsid w:val="00162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179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to.int/cps/en/natohq/official_texts_25470.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2009-2017.state.gov/t/avc/cca/c43837.ht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xame.com/mundo/otan-e-russia-retomam-dialogo-apos-cupula-de-varsovi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1430</Words>
  <Characters>7723</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Erica Santos</cp:lastModifiedBy>
  <cp:revision>16</cp:revision>
  <dcterms:created xsi:type="dcterms:W3CDTF">2020-10-21T19:04:00Z</dcterms:created>
  <dcterms:modified xsi:type="dcterms:W3CDTF">2021-02-17T20:10:00Z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